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DAFF3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乌鲁木齐市第二十一幼儿园2024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CBD027B">
      <w:r>
        <w:br w:type="page"/>
      </w:r>
    </w:p>
    <w:p w14:paraId="34F8EE62">
      <w:pPr>
        <w:spacing w:line="640" w:lineRule="exact"/>
        <w:jc w:val="center"/>
        <w:outlineLvl w:val="1"/>
      </w:pPr>
      <w:r>
        <w:rPr>
          <w:rFonts w:ascii="黑体" w:hAnsi="黑体" w:eastAsia="黑体"/>
          <w:sz w:val="32"/>
        </w:rPr>
        <w:t>第一部分 单位概况</w:t>
      </w:r>
    </w:p>
    <w:p w14:paraId="02D22E3F">
      <w:pPr>
        <w:spacing w:line="640" w:lineRule="exact"/>
        <w:ind w:firstLine="640"/>
        <w:jc w:val="both"/>
        <w:outlineLvl w:val="2"/>
      </w:pPr>
      <w:r>
        <w:rPr>
          <w:rFonts w:ascii="黑体" w:hAnsi="黑体" w:eastAsia="黑体"/>
          <w:sz w:val="32"/>
        </w:rPr>
        <w:t>一、主要职能</w:t>
      </w:r>
    </w:p>
    <w:p w14:paraId="7C9A2F9F">
      <w:pPr>
        <w:spacing w:line="580" w:lineRule="exact"/>
        <w:ind w:firstLine="640"/>
        <w:jc w:val="both"/>
      </w:pPr>
      <w:r>
        <w:rPr>
          <w:rFonts w:ascii="仿宋_GB2312" w:hAnsi="仿宋_GB2312" w:eastAsia="仿宋_GB2312"/>
          <w:sz w:val="32"/>
        </w:rPr>
        <w:t>幼儿园以“为幼儿身心健康而教育、为幼儿全面发展而教育、为幼儿适应未来而教育”为办园宗旨，秉承“因材施教、环境育人，促进幼儿富有个性发展”的办园特色，全面贯彻《幼儿园工作规程</w:t>
      </w:r>
      <w:r>
        <w:rPr>
          <w:rFonts w:hint="eastAsia" w:ascii="仿宋_GB2312" w:hAnsi="仿宋_GB2312" w:eastAsia="仿宋_GB2312"/>
          <w:sz w:val="32"/>
          <w:lang w:eastAsia="zh-CN"/>
        </w:rPr>
        <w:t>》《</w:t>
      </w:r>
      <w:r>
        <w:rPr>
          <w:rFonts w:ascii="仿宋_GB2312" w:hAnsi="仿宋_GB2312" w:eastAsia="仿宋_GB2312"/>
          <w:sz w:val="32"/>
        </w:rPr>
        <w:t>纲要</w:t>
      </w:r>
      <w:r>
        <w:rPr>
          <w:rFonts w:hint="eastAsia" w:ascii="仿宋_GB2312" w:hAnsi="仿宋_GB2312" w:eastAsia="仿宋_GB2312"/>
          <w:sz w:val="32"/>
          <w:lang w:eastAsia="zh-CN"/>
        </w:rPr>
        <w:t>》《</w:t>
      </w:r>
      <w:r>
        <w:rPr>
          <w:rFonts w:ascii="仿宋_GB2312" w:hAnsi="仿宋_GB2312" w:eastAsia="仿宋_GB2312"/>
          <w:sz w:val="32"/>
        </w:rPr>
        <w:t>3-6岁儿童发展指南》构建了“本色+特色”的幼儿教育体系。</w:t>
      </w:r>
    </w:p>
    <w:p w14:paraId="2846EF36">
      <w:pPr>
        <w:spacing w:line="640" w:lineRule="exact"/>
        <w:ind w:firstLine="640"/>
        <w:jc w:val="both"/>
        <w:outlineLvl w:val="2"/>
      </w:pPr>
      <w:r>
        <w:rPr>
          <w:rFonts w:ascii="黑体" w:hAnsi="黑体" w:eastAsia="黑体"/>
          <w:sz w:val="32"/>
        </w:rPr>
        <w:t>二、机构设置及人员情况</w:t>
      </w:r>
    </w:p>
    <w:p w14:paraId="3A58CDDD">
      <w:pPr>
        <w:spacing w:line="580" w:lineRule="exact"/>
        <w:ind w:firstLine="640"/>
        <w:jc w:val="both"/>
      </w:pPr>
      <w:r>
        <w:rPr>
          <w:rFonts w:ascii="仿宋_GB2312" w:hAnsi="仿宋_GB2312" w:eastAsia="仿宋_GB2312"/>
          <w:sz w:val="32"/>
        </w:rPr>
        <w:t>乌鲁木齐市第二十一幼儿园2024年度，实有人数17人，其中：在职人员17人，增加17人；离休人员0人，增加0人；退休人员0人,增加0人。</w:t>
      </w:r>
    </w:p>
    <w:p w14:paraId="5824BB02">
      <w:pPr>
        <w:spacing w:line="580" w:lineRule="exact"/>
        <w:ind w:firstLine="640"/>
        <w:jc w:val="both"/>
      </w:pPr>
      <w:r>
        <w:rPr>
          <w:rFonts w:ascii="仿宋_GB2312" w:hAnsi="仿宋_GB2312" w:eastAsia="仿宋_GB2312"/>
          <w:sz w:val="32"/>
        </w:rPr>
        <w:t>乌鲁木齐市第二十一幼儿园无下属预算单位，下设4个科室，分别是：园长办公室、后勤党务办公室、财务室、保健室。</w:t>
      </w:r>
    </w:p>
    <w:p w14:paraId="79193647">
      <w:r>
        <w:br w:type="page"/>
      </w:r>
    </w:p>
    <w:p w14:paraId="1DCABBD7">
      <w:pPr>
        <w:spacing w:line="240" w:lineRule="auto"/>
        <w:jc w:val="center"/>
        <w:outlineLvl w:val="1"/>
      </w:pPr>
      <w:r>
        <w:rPr>
          <w:rFonts w:ascii="黑体" w:hAnsi="黑体" w:eastAsia="黑体"/>
          <w:sz w:val="32"/>
        </w:rPr>
        <w:t>第二部分 部门决算情况说明</w:t>
      </w:r>
    </w:p>
    <w:p w14:paraId="127D3A67">
      <w:pPr>
        <w:spacing w:line="640" w:lineRule="exact"/>
        <w:ind w:firstLine="640"/>
        <w:jc w:val="both"/>
        <w:outlineLvl w:val="2"/>
      </w:pPr>
      <w:r>
        <w:rPr>
          <w:rFonts w:ascii="黑体" w:hAnsi="黑体" w:eastAsia="黑体"/>
          <w:sz w:val="32"/>
        </w:rPr>
        <w:t>一、收入支出决算总体情况说明</w:t>
      </w:r>
    </w:p>
    <w:p w14:paraId="5C5AD5E5">
      <w:pPr>
        <w:spacing w:line="580" w:lineRule="exact"/>
        <w:ind w:firstLine="640"/>
        <w:jc w:val="both"/>
      </w:pPr>
      <w:r>
        <w:rPr>
          <w:rFonts w:ascii="仿宋_GB2312" w:hAnsi="仿宋_GB2312" w:eastAsia="仿宋_GB2312"/>
          <w:b/>
          <w:sz w:val="32"/>
        </w:rPr>
        <w:t>2024年度收入总计243.23万元，</w:t>
      </w:r>
      <w:r>
        <w:rPr>
          <w:rFonts w:ascii="仿宋_GB2312" w:hAnsi="仿宋_GB2312" w:eastAsia="仿宋_GB2312"/>
          <w:b w:val="0"/>
          <w:sz w:val="32"/>
        </w:rPr>
        <w:t>其中：本年收入合计243.23万元，使用非财政拨款结余（含专用结余）0.00万元，年初结转和结余0.00万元。</w:t>
      </w:r>
    </w:p>
    <w:p w14:paraId="2B90D096">
      <w:pPr>
        <w:spacing w:line="580" w:lineRule="exact"/>
        <w:ind w:firstLine="640"/>
        <w:jc w:val="both"/>
      </w:pPr>
      <w:r>
        <w:rPr>
          <w:rFonts w:ascii="仿宋_GB2312" w:hAnsi="仿宋_GB2312" w:eastAsia="仿宋_GB2312"/>
          <w:b/>
          <w:sz w:val="32"/>
        </w:rPr>
        <w:t>2024年度支出总计243.23万元，</w:t>
      </w:r>
      <w:r>
        <w:rPr>
          <w:rFonts w:ascii="仿宋_GB2312" w:hAnsi="仿宋_GB2312" w:eastAsia="仿宋_GB2312"/>
          <w:b w:val="0"/>
          <w:sz w:val="32"/>
        </w:rPr>
        <w:t>其中：本年支出合计233.21万元，结余分配0.00万元，年末结转和结余10.02万元。</w:t>
      </w:r>
    </w:p>
    <w:p w14:paraId="2B2CF776">
      <w:pPr>
        <w:spacing w:line="580" w:lineRule="exact"/>
        <w:ind w:firstLine="640"/>
        <w:jc w:val="both"/>
      </w:pPr>
      <w:r>
        <w:rPr>
          <w:rFonts w:ascii="仿宋_GB2312" w:hAnsi="仿宋_GB2312" w:eastAsia="仿宋_GB2312"/>
          <w:b w:val="0"/>
          <w:sz w:val="32"/>
        </w:rPr>
        <w:t>收入支出总体与上年相比，增加243.23万元，增长100.00%，主要原因是：本单位为2024年新成立单位，无上年对比数。</w:t>
      </w:r>
    </w:p>
    <w:p w14:paraId="131E0B0E">
      <w:pPr>
        <w:spacing w:line="640" w:lineRule="exact"/>
        <w:ind w:firstLine="640"/>
        <w:jc w:val="both"/>
        <w:outlineLvl w:val="2"/>
      </w:pPr>
      <w:r>
        <w:rPr>
          <w:rFonts w:ascii="黑体" w:hAnsi="黑体" w:eastAsia="黑体"/>
          <w:sz w:val="32"/>
        </w:rPr>
        <w:t>二、收入决算情况说明</w:t>
      </w:r>
    </w:p>
    <w:p w14:paraId="0FABA95D">
      <w:pPr>
        <w:spacing w:line="580" w:lineRule="exact"/>
        <w:ind w:firstLine="640"/>
        <w:jc w:val="both"/>
      </w:pPr>
      <w:r>
        <w:rPr>
          <w:rFonts w:ascii="仿宋_GB2312" w:hAnsi="仿宋_GB2312" w:eastAsia="仿宋_GB2312"/>
          <w:b/>
          <w:sz w:val="32"/>
        </w:rPr>
        <w:t>本年收入243.23万元，</w:t>
      </w:r>
      <w:r>
        <w:rPr>
          <w:rFonts w:ascii="仿宋_GB2312" w:hAnsi="仿宋_GB2312" w:eastAsia="仿宋_GB2312"/>
          <w:b w:val="0"/>
          <w:sz w:val="32"/>
        </w:rPr>
        <w:t>其中：财政拨款收入243.23万元，占100.00%；上级补助收入0.00万元，占0.00%；事业收入0.00万元，占0.00%；经营收入0.00万元，占0.00%；附属单位上缴收入0.00万元，占0.00%；其他收入0.00万元，占0.00%。</w:t>
      </w:r>
    </w:p>
    <w:p w14:paraId="730411DC">
      <w:pPr>
        <w:spacing w:line="640" w:lineRule="exact"/>
        <w:ind w:firstLine="640"/>
        <w:jc w:val="both"/>
        <w:outlineLvl w:val="2"/>
      </w:pPr>
      <w:r>
        <w:rPr>
          <w:rFonts w:ascii="黑体" w:hAnsi="黑体" w:eastAsia="黑体"/>
          <w:sz w:val="32"/>
        </w:rPr>
        <w:t>三、支出决算情况说明</w:t>
      </w:r>
    </w:p>
    <w:p w14:paraId="0A5A8D3B">
      <w:pPr>
        <w:spacing w:line="580" w:lineRule="exact"/>
        <w:ind w:firstLine="640"/>
        <w:jc w:val="both"/>
      </w:pPr>
      <w:r>
        <w:rPr>
          <w:rFonts w:ascii="仿宋_GB2312" w:hAnsi="仿宋_GB2312" w:eastAsia="仿宋_GB2312"/>
          <w:b/>
          <w:sz w:val="32"/>
        </w:rPr>
        <w:t>本年支出233.21万元，</w:t>
      </w:r>
      <w:r>
        <w:rPr>
          <w:rFonts w:ascii="仿宋_GB2312" w:hAnsi="仿宋_GB2312" w:eastAsia="仿宋_GB2312"/>
          <w:b w:val="0"/>
          <w:sz w:val="32"/>
        </w:rPr>
        <w:t>其中：基本支出219.45万元，占94.10%；项目支出13.75万元，占5.90%；上缴上级支出0.00万元，占0.00%；经营支出0.00万元，占0.00%；对附属单位补助支出0.00万元，占0.00%。</w:t>
      </w:r>
    </w:p>
    <w:p w14:paraId="298685FF">
      <w:pPr>
        <w:spacing w:line="640" w:lineRule="exact"/>
        <w:ind w:firstLine="640"/>
        <w:jc w:val="both"/>
        <w:outlineLvl w:val="2"/>
      </w:pPr>
      <w:r>
        <w:rPr>
          <w:rFonts w:ascii="黑体" w:hAnsi="黑体" w:eastAsia="黑体"/>
          <w:sz w:val="32"/>
        </w:rPr>
        <w:t>四、财政拨款收入支出决算总体情况说明</w:t>
      </w:r>
    </w:p>
    <w:p w14:paraId="10F9AF40">
      <w:pPr>
        <w:spacing w:line="580" w:lineRule="exact"/>
        <w:ind w:firstLine="640"/>
        <w:jc w:val="both"/>
      </w:pPr>
      <w:r>
        <w:rPr>
          <w:rFonts w:ascii="仿宋_GB2312" w:hAnsi="仿宋_GB2312" w:eastAsia="仿宋_GB2312"/>
          <w:b/>
          <w:sz w:val="32"/>
        </w:rPr>
        <w:t>2024年度财政拨款收入总计243.23万元，</w:t>
      </w:r>
      <w:r>
        <w:rPr>
          <w:rFonts w:ascii="仿宋_GB2312" w:hAnsi="仿宋_GB2312" w:eastAsia="仿宋_GB2312"/>
          <w:b w:val="0"/>
          <w:sz w:val="32"/>
        </w:rPr>
        <w:t>其中：年初财政拨款结转和结余0.00万元，本年财政拨款收入243.23万元。</w:t>
      </w:r>
      <w:r>
        <w:rPr>
          <w:rFonts w:ascii="仿宋_GB2312" w:hAnsi="仿宋_GB2312" w:eastAsia="仿宋_GB2312"/>
          <w:b/>
          <w:sz w:val="32"/>
        </w:rPr>
        <w:t>财政拨款支出总计243.23万元，</w:t>
      </w:r>
      <w:r>
        <w:rPr>
          <w:rFonts w:ascii="仿宋_GB2312" w:hAnsi="仿宋_GB2312" w:eastAsia="仿宋_GB2312"/>
          <w:b w:val="0"/>
          <w:sz w:val="32"/>
        </w:rPr>
        <w:t>其中：年末财政拨款结转和结余10.02万元，本年财政拨款支出233.21万元。</w:t>
      </w:r>
    </w:p>
    <w:p w14:paraId="4ACD82D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增加243.23万元，增长100.00%，主要原因是：本单位为2024年新成立单位，无上年对比数。</w:t>
      </w:r>
      <w:r>
        <w:rPr>
          <w:rFonts w:ascii="仿宋_GB2312" w:hAnsi="仿宋_GB2312" w:eastAsia="仿宋_GB2312"/>
          <w:b/>
          <w:sz w:val="32"/>
        </w:rPr>
        <w:t>与年初预算相比，</w:t>
      </w:r>
      <w:r>
        <w:rPr>
          <w:rFonts w:ascii="仿宋_GB2312" w:hAnsi="仿宋_GB2312" w:eastAsia="仿宋_GB2312"/>
          <w:b w:val="0"/>
          <w:sz w:val="32"/>
        </w:rPr>
        <w:t>年初预算数218.51万元，决算数243.23万元，预决算差异率11.31%，主要原因是：年中追加人员工资、社保、公积金基数调增部分资金，导致预决算存在差异。</w:t>
      </w:r>
    </w:p>
    <w:p w14:paraId="6797244D">
      <w:pPr>
        <w:spacing w:line="640" w:lineRule="exact"/>
        <w:ind w:firstLine="640"/>
        <w:jc w:val="both"/>
        <w:outlineLvl w:val="2"/>
      </w:pPr>
      <w:r>
        <w:rPr>
          <w:rFonts w:ascii="黑体" w:hAnsi="黑体" w:eastAsia="黑体"/>
          <w:sz w:val="32"/>
        </w:rPr>
        <w:t>五、一般公共预算财政拨款支出决算情况说明</w:t>
      </w:r>
    </w:p>
    <w:p w14:paraId="66F7C8BC">
      <w:pPr>
        <w:spacing w:line="640" w:lineRule="exact"/>
        <w:ind w:firstLine="640"/>
        <w:jc w:val="both"/>
        <w:outlineLvl w:val="3"/>
      </w:pPr>
      <w:r>
        <w:rPr>
          <w:rFonts w:ascii="楷体_GB2312" w:hAnsi="楷体_GB2312" w:eastAsia="楷体_GB2312"/>
          <w:b/>
          <w:sz w:val="32"/>
        </w:rPr>
        <w:t>（一）一般公共预算财政拨款支出决算总体情况</w:t>
      </w:r>
    </w:p>
    <w:p w14:paraId="0B281067">
      <w:pPr>
        <w:spacing w:line="580" w:lineRule="exact"/>
        <w:ind w:firstLine="640"/>
        <w:jc w:val="both"/>
      </w:pPr>
      <w:r>
        <w:rPr>
          <w:rFonts w:ascii="仿宋_GB2312" w:hAnsi="仿宋_GB2312" w:eastAsia="仿宋_GB2312"/>
          <w:b/>
          <w:sz w:val="32"/>
        </w:rPr>
        <w:t>2024年度一般公共预算财政拨款支出233.21万元，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增加233.21万元，增长100.00%，主要原因是：本单位为2024年新成立单位，无上年对比数。</w:t>
      </w:r>
      <w:r>
        <w:rPr>
          <w:rFonts w:ascii="仿宋_GB2312" w:hAnsi="仿宋_GB2312" w:eastAsia="仿宋_GB2312"/>
          <w:b/>
          <w:sz w:val="32"/>
        </w:rPr>
        <w:t>与年初预算相比,</w:t>
      </w:r>
      <w:r>
        <w:rPr>
          <w:rFonts w:ascii="仿宋_GB2312" w:hAnsi="仿宋_GB2312" w:eastAsia="仿宋_GB2312"/>
          <w:b w:val="0"/>
          <w:sz w:val="32"/>
        </w:rPr>
        <w:t>年初预算数218.51万元，决算数233.21万元，预决算差异率6.73%，主要原因是：年中追加人员工资、社保、公积金基数调增部分资金，导致预决算存在差异。</w:t>
      </w:r>
    </w:p>
    <w:p w14:paraId="08A4CB29">
      <w:pPr>
        <w:spacing w:line="640" w:lineRule="exact"/>
        <w:ind w:firstLine="640"/>
        <w:jc w:val="both"/>
        <w:outlineLvl w:val="3"/>
      </w:pPr>
      <w:r>
        <w:rPr>
          <w:rFonts w:ascii="楷体_GB2312" w:hAnsi="楷体_GB2312" w:eastAsia="楷体_GB2312"/>
          <w:b/>
          <w:sz w:val="32"/>
        </w:rPr>
        <w:t>（二）一般公共预算财政拨款支出决算结构情况</w:t>
      </w:r>
    </w:p>
    <w:p w14:paraId="13D8D6C6">
      <w:pPr>
        <w:spacing w:line="580" w:lineRule="exact"/>
        <w:ind w:firstLine="640"/>
        <w:jc w:val="both"/>
      </w:pPr>
      <w:r>
        <w:rPr>
          <w:rFonts w:ascii="仿宋_GB2312" w:hAnsi="仿宋_GB2312" w:eastAsia="仿宋_GB2312"/>
          <w:b w:val="0"/>
          <w:sz w:val="32"/>
        </w:rPr>
        <w:t>1.教育支出(类)233.21万元,占100.00%。</w:t>
      </w:r>
    </w:p>
    <w:p w14:paraId="7CF6AA6E">
      <w:pPr>
        <w:spacing w:line="640" w:lineRule="exact"/>
        <w:ind w:firstLine="640"/>
        <w:jc w:val="both"/>
        <w:outlineLvl w:val="3"/>
      </w:pPr>
      <w:r>
        <w:rPr>
          <w:rFonts w:ascii="楷体_GB2312" w:hAnsi="楷体_GB2312" w:eastAsia="楷体_GB2312"/>
          <w:b/>
          <w:sz w:val="32"/>
        </w:rPr>
        <w:t>（三）一般公共预算财政拨款支出决算具体情况</w:t>
      </w:r>
    </w:p>
    <w:p w14:paraId="61926E27">
      <w:pPr>
        <w:spacing w:line="580" w:lineRule="exact"/>
        <w:ind w:firstLine="640"/>
        <w:jc w:val="both"/>
      </w:pPr>
      <w:r>
        <w:rPr>
          <w:rFonts w:ascii="仿宋_GB2312" w:hAnsi="仿宋_GB2312" w:eastAsia="仿宋_GB2312"/>
          <w:b w:val="0"/>
          <w:sz w:val="32"/>
        </w:rPr>
        <w:t>1.教育支出(类)普通教育(款)学前教育(项):支出决算数为233.21万元，比上年决算增加233.21万元，增长100.00%,主要原因是：本单位为2024年新成立单位，无上年对比数。</w:t>
      </w:r>
    </w:p>
    <w:p w14:paraId="5E4E92FA">
      <w:pPr>
        <w:spacing w:line="640" w:lineRule="exact"/>
        <w:ind w:firstLine="640"/>
        <w:jc w:val="both"/>
        <w:outlineLvl w:val="2"/>
      </w:pPr>
      <w:r>
        <w:rPr>
          <w:rFonts w:ascii="黑体" w:hAnsi="黑体" w:eastAsia="黑体"/>
          <w:sz w:val="32"/>
        </w:rPr>
        <w:t>六、一般公共预算财政拨款基本支出决算情况说明</w:t>
      </w:r>
    </w:p>
    <w:p w14:paraId="0FC59F7F">
      <w:pPr>
        <w:spacing w:line="580" w:lineRule="exact"/>
        <w:ind w:firstLine="640"/>
        <w:jc w:val="both"/>
      </w:pPr>
      <w:r>
        <w:rPr>
          <w:rFonts w:ascii="仿宋_GB2312" w:hAnsi="仿宋_GB2312" w:eastAsia="仿宋_GB2312"/>
          <w:b w:val="0"/>
          <w:sz w:val="32"/>
        </w:rPr>
        <w:t>2024年度一般公共预算财政拨款基本支出219.45万元，其中：</w:t>
      </w:r>
      <w:r>
        <w:rPr>
          <w:rFonts w:ascii="仿宋_GB2312" w:hAnsi="仿宋_GB2312" w:eastAsia="仿宋_GB2312"/>
          <w:b/>
          <w:sz w:val="32"/>
        </w:rPr>
        <w:t>人员经费206.60万元，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7C118528">
      <w:pPr>
        <w:spacing w:line="580" w:lineRule="exact"/>
        <w:ind w:firstLine="640"/>
        <w:jc w:val="both"/>
      </w:pPr>
      <w:r>
        <w:rPr>
          <w:rFonts w:ascii="仿宋_GB2312" w:hAnsi="仿宋_GB2312" w:eastAsia="仿宋_GB2312"/>
          <w:b/>
          <w:sz w:val="32"/>
        </w:rPr>
        <w:t>公用经费12.85万元，</w:t>
      </w:r>
      <w:r>
        <w:rPr>
          <w:rFonts w:ascii="仿宋_GB2312" w:hAnsi="仿宋_GB2312" w:eastAsia="仿宋_GB2312"/>
          <w:b w:val="0"/>
          <w:sz w:val="32"/>
        </w:rPr>
        <w:t>包括：电费、邮电费、取暖费。</w:t>
      </w:r>
    </w:p>
    <w:p w14:paraId="1469DCC9">
      <w:pPr>
        <w:spacing w:line="640" w:lineRule="exact"/>
        <w:ind w:firstLine="640"/>
        <w:jc w:val="both"/>
        <w:outlineLvl w:val="2"/>
      </w:pPr>
      <w:r>
        <w:rPr>
          <w:rFonts w:ascii="黑体" w:hAnsi="黑体" w:eastAsia="黑体"/>
          <w:sz w:val="32"/>
        </w:rPr>
        <w:t>七、政府性基金预算财政拨款收入支出决算情况说明</w:t>
      </w:r>
    </w:p>
    <w:p w14:paraId="31BF85C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CD630DE">
      <w:pPr>
        <w:spacing w:line="640" w:lineRule="exact"/>
        <w:ind w:firstLine="640"/>
        <w:jc w:val="both"/>
        <w:outlineLvl w:val="2"/>
      </w:pPr>
      <w:r>
        <w:rPr>
          <w:rFonts w:ascii="黑体" w:hAnsi="黑体" w:eastAsia="黑体"/>
          <w:sz w:val="32"/>
        </w:rPr>
        <w:t>八、国有资本经营预算财政拨款收入支出决算情况说明</w:t>
      </w:r>
    </w:p>
    <w:p w14:paraId="6B38EA5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65B032A">
      <w:pPr>
        <w:spacing w:line="640" w:lineRule="exact"/>
        <w:ind w:firstLine="640"/>
        <w:jc w:val="both"/>
        <w:outlineLvl w:val="2"/>
      </w:pPr>
      <w:r>
        <w:rPr>
          <w:rFonts w:ascii="黑体" w:hAnsi="黑体" w:eastAsia="黑体"/>
          <w:sz w:val="32"/>
        </w:rPr>
        <w:t>九、财政拨款“三公”经费支出决算情况说明</w:t>
      </w:r>
    </w:p>
    <w:p w14:paraId="39AD0A22">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比上年增加0.00万元，增长0.00%，主要原因是：2024年未安排财政拨款“三公”经费支出。其中：因公出国（境）费支出0.00万元，占0.00%，比上年增加0.00万元，增长0.00%，主要原因是：</w:t>
      </w:r>
      <w:r>
        <w:rPr>
          <w:rFonts w:hint="eastAsia" w:ascii="仿宋_GB2312" w:hAnsi="仿宋_GB2312" w:eastAsia="仿宋_GB2312"/>
          <w:b w:val="0"/>
          <w:sz w:val="32"/>
          <w:lang w:val="en-US" w:eastAsia="zh-CN"/>
        </w:rPr>
        <w:t>2</w:t>
      </w:r>
      <w:r>
        <w:rPr>
          <w:rFonts w:ascii="仿宋_GB2312" w:hAnsi="仿宋_GB2312" w:eastAsia="仿宋_GB2312"/>
          <w:b w:val="0"/>
          <w:sz w:val="32"/>
        </w:rPr>
        <w:t>024年未安排因公出国（境）费支出。公务用车购置及运行维护费支出0.00万元，占0.00%，比上年增加0.00万元，增长0.00%，主要原因是：2024年未安排公务用车购置及运行维护费支出。公务接待费支出0.00万元，占0.00%，比上年增加0.00万元，增长0.00%，主要原因是：2024年未安排公务接待费支出。</w:t>
      </w:r>
    </w:p>
    <w:p w14:paraId="39F9D1E0">
      <w:pPr>
        <w:spacing w:line="580" w:lineRule="exact"/>
        <w:ind w:firstLine="640"/>
        <w:jc w:val="both"/>
      </w:pPr>
      <w:r>
        <w:rPr>
          <w:rFonts w:ascii="仿宋_GB2312" w:hAnsi="仿宋_GB2312" w:eastAsia="仿宋_GB2312"/>
          <w:b/>
          <w:sz w:val="32"/>
        </w:rPr>
        <w:t>具体情况如下：</w:t>
      </w:r>
    </w:p>
    <w:p w14:paraId="4480E90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19D4F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AFB447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A7D5CE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B741A19">
      <w:pPr>
        <w:spacing w:line="640" w:lineRule="exact"/>
        <w:ind w:firstLine="640"/>
        <w:jc w:val="both"/>
        <w:outlineLvl w:val="2"/>
      </w:pPr>
      <w:r>
        <w:rPr>
          <w:rFonts w:ascii="黑体" w:hAnsi="黑体" w:eastAsia="黑体"/>
          <w:sz w:val="32"/>
        </w:rPr>
        <w:t>十、其他重要事项的情况说明</w:t>
      </w:r>
    </w:p>
    <w:p w14:paraId="2C21F5A8">
      <w:pPr>
        <w:spacing w:line="640" w:lineRule="exact"/>
        <w:ind w:firstLine="640"/>
        <w:jc w:val="both"/>
        <w:outlineLvl w:val="3"/>
      </w:pPr>
      <w:r>
        <w:rPr>
          <w:rFonts w:ascii="楷体_GB2312" w:hAnsi="楷体_GB2312" w:eastAsia="楷体_GB2312"/>
          <w:b/>
          <w:sz w:val="32"/>
        </w:rPr>
        <w:t>（一）机关运行经费及公用经费支出情况</w:t>
      </w:r>
    </w:p>
    <w:p w14:paraId="4CCF5975">
      <w:pPr>
        <w:spacing w:line="580" w:lineRule="exact"/>
        <w:ind w:firstLine="640"/>
        <w:jc w:val="both"/>
      </w:pPr>
      <w:r>
        <w:rPr>
          <w:rFonts w:ascii="仿宋_GB2312" w:hAnsi="仿宋_GB2312" w:eastAsia="仿宋_GB2312"/>
          <w:b w:val="0"/>
          <w:sz w:val="32"/>
        </w:rPr>
        <w:t>2024年度乌鲁木齐市第二十一幼儿园（事业单位）公用经费支出12.85万元，比上年增加12.85万元，增长100.00%，主要原因是：本单位为2024年新成立单位，无上年对比数。</w:t>
      </w:r>
    </w:p>
    <w:p w14:paraId="31150FC1">
      <w:pPr>
        <w:spacing w:line="640" w:lineRule="exact"/>
        <w:ind w:firstLine="640"/>
        <w:jc w:val="both"/>
        <w:outlineLvl w:val="3"/>
      </w:pPr>
      <w:r>
        <w:rPr>
          <w:rFonts w:ascii="楷体_GB2312" w:hAnsi="楷体_GB2312" w:eastAsia="楷体_GB2312"/>
          <w:b/>
          <w:sz w:val="32"/>
        </w:rPr>
        <w:t>（二）政府采购情况</w:t>
      </w:r>
    </w:p>
    <w:p w14:paraId="5BB697DB">
      <w:pPr>
        <w:spacing w:line="580" w:lineRule="exact"/>
        <w:ind w:firstLine="640"/>
        <w:jc w:val="both"/>
      </w:pPr>
      <w:r>
        <w:rPr>
          <w:rFonts w:ascii="仿宋_GB2312" w:hAnsi="仿宋_GB2312" w:eastAsia="仿宋_GB2312"/>
          <w:b w:val="0"/>
          <w:sz w:val="32"/>
        </w:rPr>
        <w:t>2024年度政府采购支出总额0.53万元，其中：政府采购货物支出0.00万元、政府采购工程支出0.00万元、政府采购服务支出0.53万元。</w:t>
      </w:r>
    </w:p>
    <w:p w14:paraId="68D564B7">
      <w:pPr>
        <w:spacing w:line="580" w:lineRule="exact"/>
        <w:ind w:firstLine="640"/>
        <w:jc w:val="both"/>
      </w:pPr>
      <w:r>
        <w:rPr>
          <w:rFonts w:ascii="仿宋_GB2312" w:hAnsi="仿宋_GB2312" w:eastAsia="仿宋_GB2312"/>
          <w:b w:val="0"/>
          <w:sz w:val="32"/>
        </w:rPr>
        <w:t>授予中小企业合同金额0.53万元，占政府采购支出总额的100.00%，其中：授予小微企业合同金额0.53万元，占政府采购支出总额的100.00%。</w:t>
      </w:r>
    </w:p>
    <w:p w14:paraId="549AA2E2">
      <w:pPr>
        <w:spacing w:line="640" w:lineRule="exact"/>
        <w:ind w:firstLine="640"/>
        <w:jc w:val="both"/>
        <w:outlineLvl w:val="3"/>
      </w:pPr>
      <w:r>
        <w:rPr>
          <w:rFonts w:ascii="楷体_GB2312" w:hAnsi="楷体_GB2312" w:eastAsia="楷体_GB2312"/>
          <w:b/>
          <w:sz w:val="32"/>
        </w:rPr>
        <w:t>（三）国有资产占用情况说明</w:t>
      </w:r>
    </w:p>
    <w:p w14:paraId="2E760CE8">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02693DE">
      <w:pPr>
        <w:spacing w:line="640" w:lineRule="exact"/>
        <w:ind w:firstLine="640"/>
        <w:jc w:val="both"/>
        <w:outlineLvl w:val="2"/>
      </w:pPr>
      <w:r>
        <w:rPr>
          <w:rFonts w:ascii="黑体" w:hAnsi="黑体" w:eastAsia="黑体"/>
          <w:sz w:val="32"/>
        </w:rPr>
        <w:t>十一、预算绩效的情况说明</w:t>
      </w:r>
    </w:p>
    <w:p w14:paraId="74F504F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243.23万元，实际执行总额233.21万元；预算绩效评价项目2个，全年预算数32.41万元，全年执行数32.41万元。预算绩效管理取得的成效：一是强化制度保障，各项目预算资金申请及审批程序完整、资金到位及时、支付有序，严格按照财政局支付要求及本单位财务管理制度及内控制度的规定履行审批流程及支付程序，项目管理过程合规，整体项目预算支出进度达到预期目标。二是加强专项资金绩效管理，通过专项绩效评价工作的开展，进一步加强专项支出的绩效管理，完善业务和财务管理制度，健全和落实财务监控机制，有效提高专项资金的使用效益和效率，确保财政资金的使用绩效。三是科学安排项目预算，根据下一年度的工作计划，提前预算、规范操作，严格控制开支范围，节约成本，提高效率。发现的问题及原因：一是绩效指标体系不完善，部分项目缺乏科学、可量化的绩效指标，导致绩效评价难以实施。原因是目标设定不清晰，项目目标未能细化为具体、可衡量的指标，导致绩效管理缺乏方向。部门间协作不足，绩效指标的设计未充分征求相关部门意见，导致指标与实际工作脱节。二是绩效监控不到位，在项目实施过程中，未能对预算绩效进行有效的动态监控。数据收集不及时，绩效相关数据未能及时收集和整理，导致监控工作滞后。监控责任不明确，绩效监控的责任分工不明确，导致监控工作流于形式。下一步改进措施：一是预算要更加切合单位实际需要，追加预算要细化，加大对项目绩效支出的绩效考核。要有</w:t>
      </w:r>
      <w:r>
        <w:rPr>
          <w:rFonts w:hint="eastAsia" w:ascii="仿宋_GB2312" w:hAnsi="仿宋_GB2312" w:eastAsia="仿宋_GB2312"/>
          <w:b w:val="0"/>
          <w:sz w:val="32"/>
          <w:lang w:eastAsia="zh-CN"/>
        </w:rPr>
        <w:t>合理化</w:t>
      </w:r>
      <w:r>
        <w:rPr>
          <w:rFonts w:ascii="仿宋_GB2312" w:hAnsi="仿宋_GB2312" w:eastAsia="仿宋_GB2312"/>
          <w:b w:val="0"/>
          <w:sz w:val="32"/>
        </w:rPr>
        <w:t>、科学化、规范化的预算编制，采用动态化预算编制方法，缩短预算执行周期，建立专门的专项经费管理小组，最大限度提升对专项经费的管理与使用。建立联动机制，各部门要密切配合，分工责任，各司其职，树立正确的预算执行意识，加强单位领导者与管理者的预算执行意识，以身作则</w:t>
      </w:r>
      <w:r>
        <w:rPr>
          <w:rFonts w:hint="eastAsia" w:ascii="仿宋_GB2312" w:hAnsi="仿宋_GB2312" w:eastAsia="仿宋_GB2312"/>
          <w:b w:val="0"/>
          <w:sz w:val="32"/>
          <w:lang w:eastAsia="zh-CN"/>
        </w:rPr>
        <w:t>地带动</w:t>
      </w:r>
      <w:r>
        <w:rPr>
          <w:rFonts w:ascii="仿宋_GB2312" w:hAnsi="仿宋_GB2312" w:eastAsia="仿宋_GB2312"/>
          <w:b w:val="0"/>
          <w:sz w:val="32"/>
        </w:rPr>
        <w:t>下属工作人员及组织、部门严肃对待预算执行这一问题，同时要加强预算执行过程中的方法学习和技巧掌握，学习如何实现经费的合理化分配与</w:t>
      </w:r>
      <w:r>
        <w:rPr>
          <w:rFonts w:hint="eastAsia" w:ascii="仿宋_GB2312" w:hAnsi="仿宋_GB2312" w:eastAsia="仿宋_GB2312"/>
          <w:b w:val="0"/>
          <w:sz w:val="32"/>
          <w:lang w:eastAsia="zh-CN"/>
        </w:rPr>
        <w:t>使用</w:t>
      </w:r>
      <w:r>
        <w:rPr>
          <w:rFonts w:ascii="仿宋_GB2312" w:hAnsi="仿宋_GB2312" w:eastAsia="仿宋_GB2312"/>
          <w:b w:val="0"/>
          <w:sz w:val="32"/>
        </w:rPr>
        <w:t>。二是</w:t>
      </w:r>
      <w:r>
        <w:rPr>
          <w:rFonts w:hint="eastAsia" w:ascii="仿宋_GB2312" w:hAnsi="仿宋_GB2312" w:eastAsia="仿宋_GB2312"/>
          <w:b w:val="0"/>
          <w:sz w:val="32"/>
          <w:lang w:eastAsia="zh-CN"/>
        </w:rPr>
        <w:t>本单位</w:t>
      </w:r>
      <w:r>
        <w:rPr>
          <w:rFonts w:ascii="仿宋_GB2312" w:hAnsi="仿宋_GB2312" w:eastAsia="仿宋_GB2312"/>
          <w:b w:val="0"/>
          <w:sz w:val="32"/>
        </w:rPr>
        <w:t>将及时</w:t>
      </w:r>
      <w:r>
        <w:rPr>
          <w:rFonts w:hint="eastAsia" w:ascii="仿宋_GB2312" w:hAnsi="仿宋_GB2312" w:eastAsia="仿宋_GB2312"/>
          <w:b w:val="0"/>
          <w:sz w:val="32"/>
          <w:lang w:eastAsia="zh-CN"/>
        </w:rPr>
        <w:t>跟进</w:t>
      </w:r>
      <w:r>
        <w:rPr>
          <w:rFonts w:ascii="仿宋_GB2312" w:hAnsi="仿宋_GB2312" w:eastAsia="仿宋_GB2312"/>
          <w:b w:val="0"/>
          <w:sz w:val="32"/>
        </w:rPr>
        <w:t>财政的步伐，及时支付该项目的相关费用，做到资金金额发放准确；合理规划资金使用，优先使用相同项目资金，优化绩效进度。三是更科学、合理</w:t>
      </w:r>
      <w:r>
        <w:rPr>
          <w:rFonts w:hint="eastAsia" w:ascii="仿宋_GB2312" w:hAnsi="仿宋_GB2312" w:eastAsia="仿宋_GB2312"/>
          <w:b w:val="0"/>
          <w:sz w:val="32"/>
          <w:lang w:eastAsia="zh-CN"/>
        </w:rPr>
        <w:t>地</w:t>
      </w:r>
      <w:r>
        <w:rPr>
          <w:rFonts w:ascii="仿宋_GB2312" w:hAnsi="仿宋_GB2312" w:eastAsia="仿宋_GB2312"/>
          <w:b w:val="0"/>
          <w:sz w:val="32"/>
        </w:rPr>
        <w:t>设定绩效目标；推进绩效管理标准化；优化评价指标体系；加强绩效管理队伍建设，加强各部</w:t>
      </w:r>
      <w:r>
        <w:rPr>
          <w:rFonts w:hint="eastAsia" w:ascii="仿宋_GB2312" w:hAnsi="仿宋_GB2312" w:eastAsia="仿宋_GB2312"/>
          <w:b w:val="0"/>
          <w:sz w:val="32"/>
          <w:lang w:eastAsia="zh-CN"/>
        </w:rPr>
        <w:t>门之</w:t>
      </w:r>
      <w:r>
        <w:rPr>
          <w:rFonts w:ascii="仿宋_GB2312" w:hAnsi="仿宋_GB2312" w:eastAsia="仿宋_GB2312"/>
          <w:b w:val="0"/>
          <w:sz w:val="32"/>
        </w:rPr>
        <w:t>间的沟通与协作。具体附整体支出绩效自评表，项目支出绩效自评表和评价报告。</w:t>
      </w:r>
    </w:p>
    <w:p w14:paraId="35009B5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9E38DB5">
        <w:tblPrEx>
          <w:tblCellMar>
            <w:top w:w="0" w:type="dxa"/>
            <w:left w:w="108" w:type="dxa"/>
            <w:bottom w:w="0" w:type="dxa"/>
            <w:right w:w="108" w:type="dxa"/>
          </w:tblCellMar>
        </w:tblPrEx>
        <w:tc>
          <w:tcPr>
            <w:tcW w:w="8840" w:type="dxa"/>
            <w:gridSpan w:val="8"/>
            <w:vAlign w:val="center"/>
          </w:tcPr>
          <w:p w14:paraId="2556EF4C">
            <w:pPr>
              <w:jc w:val="center"/>
            </w:pPr>
            <w:r>
              <w:rPr>
                <w:rFonts w:ascii="宋体" w:hAnsi="宋体" w:eastAsia="宋体"/>
                <w:sz w:val="24"/>
              </w:rPr>
              <w:t>单位整体支出绩效自评表</w:t>
            </w:r>
          </w:p>
        </w:tc>
      </w:tr>
      <w:tr w14:paraId="3021801C">
        <w:tblPrEx>
          <w:tblCellMar>
            <w:top w:w="0" w:type="dxa"/>
            <w:left w:w="108" w:type="dxa"/>
            <w:bottom w:w="0" w:type="dxa"/>
            <w:right w:w="108" w:type="dxa"/>
          </w:tblCellMar>
        </w:tblPrEx>
        <w:tc>
          <w:tcPr>
            <w:tcW w:w="8840" w:type="dxa"/>
            <w:gridSpan w:val="8"/>
            <w:vAlign w:val="center"/>
          </w:tcPr>
          <w:p w14:paraId="4E467CD5">
            <w:pPr>
              <w:jc w:val="center"/>
            </w:pPr>
            <w:r>
              <w:rPr>
                <w:rFonts w:ascii="宋体" w:hAnsi="宋体" w:eastAsia="宋体"/>
                <w:sz w:val="24"/>
              </w:rPr>
              <w:t>（2024年度）</w:t>
            </w:r>
          </w:p>
        </w:tc>
      </w:tr>
      <w:tr w14:paraId="3A547CB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51E8E1">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46AFAE">
            <w:pPr>
              <w:jc w:val="center"/>
            </w:pPr>
            <w:r>
              <w:rPr>
                <w:rFonts w:ascii="宋体" w:hAnsi="宋体" w:eastAsia="宋体"/>
                <w:sz w:val="16"/>
              </w:rPr>
              <w:t>乌鲁木齐市第二十一幼儿园</w:t>
            </w:r>
          </w:p>
        </w:tc>
      </w:tr>
      <w:tr w14:paraId="3760775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FD70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28EA33">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3D42B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2327A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7D182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111AF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EDD2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82825">
            <w:pPr>
              <w:jc w:val="center"/>
            </w:pPr>
            <w:r>
              <w:rPr>
                <w:rFonts w:ascii="宋体" w:hAnsi="宋体" w:eastAsia="宋体"/>
                <w:sz w:val="16"/>
              </w:rPr>
              <w:t>得分</w:t>
            </w:r>
          </w:p>
        </w:tc>
      </w:tr>
      <w:tr w14:paraId="0E842F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BAFDE7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D572C5">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3B0488">
            <w:pPr>
              <w:jc w:val="center"/>
            </w:pPr>
            <w:r>
              <w:rPr>
                <w:rFonts w:ascii="宋体" w:hAnsi="宋体" w:eastAsia="宋体"/>
                <w:sz w:val="16"/>
              </w:rPr>
              <w:t>218.51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FC5539">
            <w:pPr>
              <w:jc w:val="center"/>
            </w:pPr>
            <w:r>
              <w:rPr>
                <w:rFonts w:ascii="宋体" w:hAnsi="宋体" w:eastAsia="宋体"/>
                <w:sz w:val="16"/>
              </w:rPr>
              <w:t>243.23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5285C2">
            <w:pPr>
              <w:jc w:val="center"/>
            </w:pPr>
            <w:r>
              <w:rPr>
                <w:rFonts w:ascii="宋体" w:hAnsi="宋体" w:eastAsia="宋体"/>
                <w:sz w:val="16"/>
              </w:rPr>
              <w:t>233.21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B5BCD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97E200">
            <w:pPr>
              <w:jc w:val="center"/>
            </w:pPr>
            <w:r>
              <w:rPr>
                <w:rFonts w:ascii="宋体" w:hAnsi="宋体" w:eastAsia="宋体"/>
                <w:sz w:val="16"/>
              </w:rPr>
              <w:t>95.88%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20AD8D">
            <w:pPr>
              <w:jc w:val="center"/>
            </w:pPr>
            <w:r>
              <w:rPr>
                <w:rFonts w:ascii="宋体" w:hAnsi="宋体" w:eastAsia="宋体"/>
                <w:sz w:val="16"/>
              </w:rPr>
              <w:t>9.59</w:t>
            </w:r>
          </w:p>
        </w:tc>
      </w:tr>
      <w:tr w14:paraId="6E8683B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F0B7A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416A3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F7F8C">
            <w:pPr>
              <w:jc w:val="center"/>
            </w:pPr>
            <w:r>
              <w:rPr>
                <w:rFonts w:ascii="宋体" w:hAnsi="宋体" w:eastAsia="宋体"/>
                <w:sz w:val="16"/>
              </w:rPr>
              <w:t>9.35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41EC9">
            <w:pPr>
              <w:jc w:val="center"/>
            </w:pPr>
            <w:r>
              <w:rPr>
                <w:rFonts w:ascii="宋体" w:hAnsi="宋体" w:eastAsia="宋体"/>
                <w:sz w:val="16"/>
              </w:rPr>
              <w:t>6.85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82B703">
            <w:pPr>
              <w:jc w:val="center"/>
            </w:pPr>
            <w:r>
              <w:rPr>
                <w:rFonts w:ascii="宋体" w:hAnsi="宋体" w:eastAsia="宋体"/>
                <w:sz w:val="16"/>
              </w:rPr>
              <w:t>6.85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80A0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D448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DA72E6">
            <w:pPr>
              <w:jc w:val="center"/>
            </w:pPr>
            <w:r>
              <w:rPr>
                <w:rFonts w:ascii="宋体" w:hAnsi="宋体" w:eastAsia="宋体"/>
                <w:sz w:val="16"/>
              </w:rPr>
              <w:t>-</w:t>
            </w:r>
          </w:p>
        </w:tc>
      </w:tr>
      <w:tr w14:paraId="0F3FA34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3B8E7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BF926">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7E698">
            <w:pPr>
              <w:jc w:val="center"/>
            </w:pPr>
            <w:r>
              <w:rPr>
                <w:rFonts w:ascii="宋体" w:hAnsi="宋体" w:eastAsia="宋体"/>
                <w:sz w:val="16"/>
              </w:rPr>
              <w:t>209.16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5EEE54">
            <w:pPr>
              <w:jc w:val="center"/>
            </w:pPr>
            <w:r>
              <w:rPr>
                <w:rFonts w:ascii="宋体" w:hAnsi="宋体" w:eastAsia="宋体"/>
                <w:sz w:val="16"/>
              </w:rPr>
              <w:t>236.38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F841A">
            <w:pPr>
              <w:jc w:val="center"/>
            </w:pPr>
            <w:r>
              <w:rPr>
                <w:rFonts w:ascii="宋体" w:hAnsi="宋体" w:eastAsia="宋体"/>
                <w:sz w:val="16"/>
              </w:rPr>
              <w:t>226.36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1FDAE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07D9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D1F5A6">
            <w:pPr>
              <w:jc w:val="center"/>
            </w:pPr>
            <w:r>
              <w:rPr>
                <w:rFonts w:ascii="宋体" w:hAnsi="宋体" w:eastAsia="宋体"/>
                <w:sz w:val="16"/>
              </w:rPr>
              <w:t>-</w:t>
            </w:r>
          </w:p>
        </w:tc>
      </w:tr>
      <w:tr w14:paraId="5F3619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DDE5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B224C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0BC47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70135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C5BCC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74F8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12E1E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6CEC0F">
            <w:pPr>
              <w:jc w:val="center"/>
            </w:pPr>
            <w:r>
              <w:rPr>
                <w:rFonts w:ascii="宋体" w:hAnsi="宋体" w:eastAsia="宋体"/>
                <w:sz w:val="16"/>
              </w:rPr>
              <w:t>-</w:t>
            </w:r>
          </w:p>
        </w:tc>
      </w:tr>
      <w:tr w14:paraId="105C69E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5E53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93029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B305A4">
            <w:pPr>
              <w:jc w:val="center"/>
            </w:pPr>
            <w:r>
              <w:rPr>
                <w:rFonts w:ascii="宋体" w:hAnsi="宋体" w:eastAsia="宋体"/>
                <w:sz w:val="16"/>
              </w:rPr>
              <w:t>实际完成情况</w:t>
            </w:r>
          </w:p>
        </w:tc>
      </w:tr>
      <w:tr w14:paraId="46C5B2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5A7C0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058934">
            <w:pPr>
              <w:jc w:val="both"/>
            </w:pPr>
            <w:r>
              <w:rPr>
                <w:rFonts w:ascii="宋体" w:hAnsi="宋体" w:eastAsia="宋体"/>
                <w:sz w:val="16"/>
              </w:rPr>
              <w:t>一、加强党的建设方面：①全面加强党的建设加强高素质专业化教师队伍建设；②贯彻民主集中制情况，落实幼儿园党组织领导的园长负责制工作要求、加强领导班子和干部人才队伍建设。</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学前教育，鼓励幼儿教育发展，普及学前教育；②推动国家学前教育政策，强化教育措施，开展学前教育服务，推进学前教育发展；③完成深化教育评价改革、学前教育评价工作；④深入实施教育质量提升工程，大力发展学前教育，做优做强服务区域发展战略的学前教育，加强高素质专业化教师队伍建设，</w:t>
            </w:r>
            <w:r>
              <w:rPr>
                <w:rFonts w:hint="eastAsia" w:ascii="宋体" w:hAnsi="宋体"/>
                <w:sz w:val="16"/>
                <w:lang w:eastAsia="zh-CN"/>
              </w:rPr>
              <w:t>办好人民满意的教育</w:t>
            </w:r>
            <w:r>
              <w:rPr>
                <w:rFonts w:ascii="宋体" w:hAnsi="宋体" w:eastAsia="宋体"/>
                <w:sz w:val="16"/>
              </w:rPr>
              <w:t>。</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环境是重要的教育资源，开展环创工作。④严格财务管理工作，进一步完善财务管理制度，完善财务室资源配备，保障教育教学工作正常运转。四、保健与健康方面：①按幼儿园规范要求，落实每年一次全园教职工体检</w:t>
            </w:r>
            <w:r>
              <w:rPr>
                <w:rFonts w:hint="eastAsia" w:ascii="宋体" w:hAnsi="宋体"/>
                <w:sz w:val="16"/>
                <w:lang w:eastAsia="zh-CN"/>
              </w:rPr>
              <w:t>办理</w:t>
            </w:r>
            <w:r>
              <w:rPr>
                <w:rFonts w:ascii="宋体" w:hAnsi="宋体" w:eastAsia="宋体"/>
                <w:sz w:val="16"/>
              </w:rPr>
              <w:t>健康证的工作②保健室配备烫伤膏、碘伏创可贴等。</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F6D76B">
            <w:pPr>
              <w:jc w:val="both"/>
            </w:pPr>
            <w:r>
              <w:rPr>
                <w:rFonts w:ascii="宋体" w:hAnsi="宋体" w:eastAsia="宋体"/>
                <w:sz w:val="16"/>
              </w:rPr>
              <w:t>一、</w:t>
            </w:r>
            <w:r>
              <w:rPr>
                <w:rFonts w:hint="eastAsia" w:ascii="宋体" w:hAnsi="宋体"/>
                <w:sz w:val="16"/>
                <w:lang w:eastAsia="zh-CN"/>
              </w:rPr>
              <w:t>加强</w:t>
            </w:r>
            <w:r>
              <w:rPr>
                <w:rFonts w:ascii="宋体" w:hAnsi="宋体" w:eastAsia="宋体"/>
                <w:sz w:val="16"/>
              </w:rPr>
              <w:t>党的建设方面：①全面加强党的建设加强高素质专业化教师队伍建设；②贯彻民主集中制情况，落实幼儿园党组织领导的园长负责制工作要求、加强领导班子和干部人才队伍建设。</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学前教育，鼓励幼儿教育发展，普及学前教育；②推动国家学前教育政策，强化教育措施，开展学前教育服务，推进学前教育发展；③完成深化教育评价改革、学前教育评价工作；④深入实施教育质量提升工程，大力发展学前教育，做优做强服务区域发展战略的学前教育，加强高素质专业化教师队伍建设，</w:t>
            </w:r>
            <w:r>
              <w:rPr>
                <w:rFonts w:hint="eastAsia" w:ascii="宋体" w:hAnsi="宋体"/>
                <w:sz w:val="16"/>
                <w:lang w:eastAsia="zh-CN"/>
              </w:rPr>
              <w:t>办好人民满意的教育</w:t>
            </w:r>
            <w:r>
              <w:rPr>
                <w:rFonts w:ascii="宋体" w:hAnsi="宋体" w:eastAsia="宋体"/>
                <w:sz w:val="16"/>
              </w:rPr>
              <w:t>。</w:t>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环境是重要的教育资源，开展环创工作。④严格财务管理工作，进一步完善财务管理制度，完善财务室资源配备，保障教育教学工作正常运转。四、保健与健康方面：①按幼儿园规范要求，落实每年一次全园教职工体检</w:t>
            </w:r>
            <w:r>
              <w:rPr>
                <w:rFonts w:hint="eastAsia" w:ascii="宋体" w:hAnsi="宋体"/>
                <w:sz w:val="16"/>
                <w:lang w:eastAsia="zh-CN"/>
              </w:rPr>
              <w:t>办理</w:t>
            </w:r>
            <w:r>
              <w:rPr>
                <w:rFonts w:ascii="宋体" w:hAnsi="宋体" w:eastAsia="宋体"/>
                <w:sz w:val="16"/>
              </w:rPr>
              <w:t>健康证的工作②保健室配备烫伤膏、</w:t>
            </w:r>
            <w:bookmarkStart w:id="0" w:name="_GoBack"/>
            <w:r>
              <w:rPr>
                <w:rFonts w:ascii="宋体" w:hAnsi="宋体" w:eastAsia="宋体"/>
                <w:sz w:val="16"/>
              </w:rPr>
              <w:t>碘伏</w:t>
            </w:r>
            <w:bookmarkEnd w:id="0"/>
            <w:r>
              <w:rPr>
                <w:rFonts w:ascii="宋体" w:hAnsi="宋体" w:eastAsia="宋体"/>
                <w:sz w:val="16"/>
              </w:rPr>
              <w:t>创可贴等。</w:t>
            </w:r>
          </w:p>
        </w:tc>
      </w:tr>
      <w:tr w14:paraId="4279AA1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766B2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29EE8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07B01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D5EF5">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5EFDAC">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AD7A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B51FE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7B98C0">
            <w:pPr>
              <w:jc w:val="center"/>
            </w:pPr>
            <w:r>
              <w:rPr>
                <w:rFonts w:ascii="宋体" w:hAnsi="宋体" w:eastAsia="宋体"/>
                <w:sz w:val="16"/>
              </w:rPr>
              <w:t>得分</w:t>
            </w:r>
          </w:p>
        </w:tc>
      </w:tr>
      <w:tr w14:paraId="3283E92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71EF7">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F14A38">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07E464">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D7491D">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B82A6">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C6766D">
            <w:pPr>
              <w:jc w:val="center"/>
            </w:pPr>
            <w:r>
              <w:rPr>
                <w:rFonts w:ascii="宋体" w:hAnsi="宋体" w:eastAsia="宋体"/>
                <w:sz w:val="16"/>
              </w:rPr>
              <w: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D94A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0B2D28">
            <w:pPr>
              <w:jc w:val="center"/>
            </w:pPr>
            <w:r>
              <w:rPr>
                <w:rFonts w:ascii="宋体" w:hAnsi="宋体" w:eastAsia="宋体"/>
                <w:sz w:val="16"/>
              </w:rPr>
              <w:t>30</w:t>
            </w:r>
          </w:p>
        </w:tc>
      </w:tr>
      <w:tr w14:paraId="195992B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7ADF7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A06B08">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DE94E1">
            <w:pPr>
              <w:jc w:val="center"/>
            </w:pPr>
            <w:r>
              <w:rPr>
                <w:rFonts w:ascii="宋体" w:hAnsi="宋体" w:eastAsia="宋体"/>
                <w:sz w:val="16"/>
              </w:rPr>
              <w:t>落实各级财政资金执行率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2CAC87">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C264EE">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90E632">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3A425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2FADD">
            <w:pPr>
              <w:jc w:val="center"/>
            </w:pPr>
            <w:r>
              <w:rPr>
                <w:rFonts w:ascii="宋体" w:hAnsi="宋体" w:eastAsia="宋体"/>
                <w:sz w:val="16"/>
              </w:rPr>
              <w:t>30</w:t>
            </w:r>
          </w:p>
        </w:tc>
      </w:tr>
      <w:tr w14:paraId="2CE614B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2605E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876EA0">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8D7905">
            <w:pPr>
              <w:jc w:val="center"/>
            </w:pPr>
            <w:r>
              <w:rPr>
                <w:rFonts w:ascii="宋体" w:hAnsi="宋体" w:eastAsia="宋体"/>
                <w:sz w:val="16"/>
              </w:rPr>
              <w:t>学籍管理、教育管理合规率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1410D3">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224C8">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02619A">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DBF9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9FCD6">
            <w:pPr>
              <w:jc w:val="center"/>
            </w:pPr>
            <w:r>
              <w:rPr>
                <w:rFonts w:ascii="宋体" w:hAnsi="宋体" w:eastAsia="宋体"/>
                <w:sz w:val="16"/>
              </w:rPr>
              <w:t>30</w:t>
            </w:r>
          </w:p>
        </w:tc>
      </w:tr>
    </w:tbl>
    <w:p w14:paraId="7B2CAD73">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31"/>
        <w:gridCol w:w="856"/>
        <w:gridCol w:w="611"/>
        <w:gridCol w:w="624"/>
        <w:gridCol w:w="617"/>
        <w:gridCol w:w="611"/>
        <w:gridCol w:w="611"/>
        <w:gridCol w:w="776"/>
        <w:gridCol w:w="624"/>
        <w:gridCol w:w="624"/>
        <w:gridCol w:w="631"/>
      </w:tblGrid>
      <w:tr w14:paraId="29127112">
        <w:tblPrEx>
          <w:tblCellMar>
            <w:top w:w="0" w:type="dxa"/>
            <w:left w:w="108" w:type="dxa"/>
            <w:bottom w:w="0" w:type="dxa"/>
            <w:right w:w="108" w:type="dxa"/>
          </w:tblCellMar>
        </w:tblPrEx>
        <w:tc>
          <w:tcPr>
            <w:tcW w:w="8848" w:type="dxa"/>
            <w:gridSpan w:val="14"/>
            <w:vAlign w:val="center"/>
          </w:tcPr>
          <w:p w14:paraId="1F3CF0F4">
            <w:pPr>
              <w:jc w:val="center"/>
            </w:pPr>
            <w:r>
              <w:rPr>
                <w:rFonts w:ascii="宋体" w:hAnsi="宋体" w:eastAsia="宋体"/>
                <w:sz w:val="24"/>
              </w:rPr>
              <w:t>项目支出绩效自评表</w:t>
            </w:r>
          </w:p>
        </w:tc>
      </w:tr>
      <w:tr w14:paraId="695AF89B">
        <w:tblPrEx>
          <w:tblCellMar>
            <w:top w:w="0" w:type="dxa"/>
            <w:left w:w="108" w:type="dxa"/>
            <w:bottom w:w="0" w:type="dxa"/>
            <w:right w:w="108" w:type="dxa"/>
          </w:tblCellMar>
        </w:tblPrEx>
        <w:tc>
          <w:tcPr>
            <w:tcW w:w="8848" w:type="dxa"/>
            <w:gridSpan w:val="14"/>
            <w:vAlign w:val="center"/>
          </w:tcPr>
          <w:p w14:paraId="17B50545">
            <w:pPr>
              <w:jc w:val="center"/>
            </w:pPr>
            <w:r>
              <w:rPr>
                <w:rFonts w:ascii="宋体" w:hAnsi="宋体" w:eastAsia="宋体"/>
                <w:sz w:val="24"/>
              </w:rPr>
              <w:t>(2024年度)</w:t>
            </w:r>
          </w:p>
        </w:tc>
      </w:tr>
      <w:tr w14:paraId="133AB3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4E9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37F8A32">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558D87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B7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95D27">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04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94FA88">
            <w:pPr>
              <w:jc w:val="center"/>
            </w:pPr>
            <w:r>
              <w:rPr>
                <w:rFonts w:ascii="宋体" w:hAnsi="宋体" w:eastAsia="宋体"/>
                <w:sz w:val="16"/>
              </w:rPr>
              <w:t>乌鲁木齐市第二十一幼儿园</w:t>
            </w:r>
          </w:p>
        </w:tc>
      </w:tr>
      <w:tr w14:paraId="57AD2C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E9C5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B1CC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055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693C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7C2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B019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0F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B75E2">
            <w:pPr>
              <w:jc w:val="center"/>
            </w:pPr>
            <w:r>
              <w:rPr>
                <w:rFonts w:ascii="宋体" w:hAnsi="宋体" w:eastAsia="宋体"/>
                <w:sz w:val="16"/>
              </w:rPr>
              <w:t>得分</w:t>
            </w:r>
          </w:p>
        </w:tc>
      </w:tr>
      <w:tr w14:paraId="67DDE4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D52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E09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FEA0C">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CCEA">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D2B69">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CDF1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C8DD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FC258">
            <w:pPr>
              <w:jc w:val="center"/>
            </w:pPr>
            <w:r>
              <w:rPr>
                <w:rFonts w:ascii="宋体" w:hAnsi="宋体" w:eastAsia="宋体"/>
                <w:sz w:val="16"/>
              </w:rPr>
              <w:t>10.00分</w:t>
            </w:r>
          </w:p>
        </w:tc>
      </w:tr>
      <w:tr w14:paraId="18499A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736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4F7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C40D3">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93D00">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262AD">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ED9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437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7E149">
            <w:pPr>
              <w:jc w:val="center"/>
            </w:pPr>
            <w:r>
              <w:rPr>
                <w:rFonts w:ascii="宋体" w:hAnsi="宋体" w:eastAsia="宋体"/>
                <w:sz w:val="16"/>
              </w:rPr>
              <w:t>-</w:t>
            </w:r>
          </w:p>
        </w:tc>
      </w:tr>
      <w:tr w14:paraId="69FCC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E2E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E939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1BB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682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00D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839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E3C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4203">
            <w:pPr>
              <w:jc w:val="center"/>
            </w:pPr>
            <w:r>
              <w:rPr>
                <w:rFonts w:ascii="宋体" w:hAnsi="宋体" w:eastAsia="宋体"/>
                <w:sz w:val="16"/>
              </w:rPr>
              <w:t>-</w:t>
            </w:r>
          </w:p>
        </w:tc>
      </w:tr>
      <w:tr w14:paraId="523A12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DEA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E0BF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97EE11">
            <w:pPr>
              <w:jc w:val="center"/>
            </w:pPr>
            <w:r>
              <w:rPr>
                <w:rFonts w:ascii="宋体" w:hAnsi="宋体" w:eastAsia="宋体"/>
                <w:sz w:val="16"/>
              </w:rPr>
              <w:t>总体目标完成情况</w:t>
            </w:r>
          </w:p>
        </w:tc>
      </w:tr>
      <w:tr w14:paraId="3AB8E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810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30C4F6">
            <w:pPr>
              <w:jc w:val="both"/>
            </w:pPr>
            <w:r>
              <w:rPr>
                <w:rFonts w:ascii="宋体" w:hAnsi="宋体" w:eastAsia="宋体"/>
                <w:sz w:val="16"/>
              </w:rPr>
              <w:t>本项目由人事局核定我园临聘教师人数，财政局根据人数补充自聘教师经费。该项目发放人数13人，本年度发放一次，每人每次发放补助金0.5269万元。该项目具体用于提高临聘教师的工资待遇从而提高临聘教师的工资积极性，促进教育公平。保障临聘教师的基本生活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35D4C3">
            <w:pPr>
              <w:jc w:val="both"/>
            </w:pPr>
            <w:r>
              <w:rPr>
                <w:rFonts w:ascii="宋体" w:hAnsi="宋体" w:eastAsia="宋体"/>
                <w:sz w:val="16"/>
              </w:rPr>
              <w:t>该项目6.85万元用于发放自聘教师工资社保13人，资金使用完毕。资金发放符合各类制度要求，资金发放及时，符合补助政策教师全覆盖，教师们都满意。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幼儿园的正常教育教学工作顺利进行。</w:t>
            </w:r>
          </w:p>
        </w:tc>
      </w:tr>
      <w:tr w14:paraId="1E4297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27B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D1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7CF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9C1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777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4F5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7A8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9E4C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14F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B1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30D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B5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3A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CE5F">
            <w:pPr>
              <w:jc w:val="center"/>
            </w:pPr>
            <w:r>
              <w:rPr>
                <w:rFonts w:ascii="宋体" w:hAnsi="宋体" w:eastAsia="宋体"/>
                <w:sz w:val="16"/>
              </w:rPr>
              <w:t>偏差原因分析及改进措施</w:t>
            </w:r>
          </w:p>
        </w:tc>
      </w:tr>
      <w:tr w14:paraId="5644F3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0A4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F7B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5AA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156B">
            <w:pPr>
              <w:jc w:val="center"/>
            </w:pPr>
            <w:r>
              <w:rPr>
                <w:rFonts w:ascii="宋体" w:hAnsi="宋体" w:eastAsia="宋体"/>
                <w:sz w:val="16"/>
              </w:rPr>
              <w:t>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7726">
            <w:pPr>
              <w:jc w:val="center"/>
            </w:pPr>
            <w:r>
              <w:rPr>
                <w:rFonts w:ascii="宋体" w:hAnsi="宋体" w:eastAsia="宋体"/>
                <w:sz w:val="16"/>
              </w:rPr>
              <w:t>&gt;=13人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8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25D1">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7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F3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59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2F9C8">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9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3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73CF">
            <w:pPr>
              <w:jc w:val="center"/>
            </w:pPr>
          </w:p>
        </w:tc>
      </w:tr>
      <w:tr w14:paraId="6343F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2C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4D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CFE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FE55">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8AB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8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6E90">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79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9C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76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0903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A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4F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98BC">
            <w:pPr>
              <w:jc w:val="center"/>
            </w:pPr>
          </w:p>
        </w:tc>
      </w:tr>
      <w:tr w14:paraId="5F372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152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EDC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BB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1742">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A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AE2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6894">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09B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C2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3B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A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60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FB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E66C">
            <w:pPr>
              <w:jc w:val="center"/>
            </w:pPr>
          </w:p>
        </w:tc>
      </w:tr>
      <w:tr w14:paraId="7A825F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48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9EA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C8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710A8">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CF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519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C26A">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5B9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8C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EF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D4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9B7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9B9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F623">
            <w:pPr>
              <w:jc w:val="center"/>
            </w:pPr>
          </w:p>
        </w:tc>
      </w:tr>
      <w:tr w14:paraId="1ADCE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DE9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F02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77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6571">
            <w:pPr>
              <w:jc w:val="center"/>
            </w:pPr>
            <w:r>
              <w:rPr>
                <w:rFonts w:ascii="宋体" w:hAnsi="宋体" w:eastAsia="宋体"/>
                <w:sz w:val="16"/>
              </w:rPr>
              <w:t>补助发放人均资金标准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F18D">
            <w:pPr>
              <w:jc w:val="center"/>
            </w:pPr>
            <w:r>
              <w:rPr>
                <w:rFonts w:ascii="宋体" w:hAnsi="宋体" w:eastAsia="宋体"/>
                <w:sz w:val="16"/>
              </w:rPr>
              <w:t>&lt;=0.5269万元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0B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EA1C">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07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FA4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8D1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5282">
            <w:pPr>
              <w:jc w:val="center"/>
            </w:pPr>
            <w:r>
              <w:rPr>
                <w:rFonts w:ascii="宋体" w:hAnsi="宋体" w:eastAsia="宋体"/>
                <w:sz w:val="16"/>
              </w:rPr>
              <w:t>=0.5269万元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97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1C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3AF5">
            <w:pPr>
              <w:jc w:val="center"/>
            </w:pPr>
          </w:p>
        </w:tc>
      </w:tr>
      <w:tr w14:paraId="1C41F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28D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E0B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E9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269A8">
            <w:pPr>
              <w:jc w:val="center"/>
            </w:pPr>
            <w:r>
              <w:rPr>
                <w:rFonts w:ascii="宋体" w:hAnsi="宋体" w:eastAsia="宋体"/>
                <w:sz w:val="16"/>
              </w:rPr>
              <w:t>保障临聘教师相关权益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DD51">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63B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1D44">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24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528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3F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B51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F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70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FB61">
            <w:pPr>
              <w:jc w:val="center"/>
            </w:pPr>
          </w:p>
        </w:tc>
      </w:tr>
      <w:tr w14:paraId="7270F7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388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87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9B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7E58">
            <w:pPr>
              <w:jc w:val="center"/>
            </w:pPr>
            <w:r>
              <w:rPr>
                <w:rFonts w:ascii="宋体" w:hAnsi="宋体" w:eastAsia="宋体"/>
                <w:sz w:val="16"/>
              </w:rPr>
              <w:t>临聘教师满意度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9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23D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060C">
            <w:pPr>
              <w:jc w:val="center"/>
            </w:pPr>
            <w:r>
              <w:rPr>
                <w:rFonts w:ascii="宋体" w:hAnsi="宋体" w:eastAsia="宋体"/>
                <w:sz w:val="16"/>
              </w:rPr>
              <w:t>当年项目，无上年值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2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5E80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30E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8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0707">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561D">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ACA6">
            <w:pPr>
              <w:jc w:val="center"/>
            </w:pPr>
            <w:r>
              <w:rPr>
                <w:rFonts w:ascii="宋体" w:hAnsi="宋体" w:eastAsia="宋体"/>
                <w:sz w:val="16"/>
              </w:rPr>
              <w:t>由于资金限制，临聘教师薪酬水平偏低，对工资标准不是很满意。</w:t>
            </w:r>
          </w:p>
        </w:tc>
      </w:tr>
      <w:tr w14:paraId="38EA57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ED16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3FB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B02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84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1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4B8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357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E41C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55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6FCD">
            <w:pPr>
              <w:jc w:val="center"/>
            </w:pPr>
            <w:r>
              <w:rPr>
                <w:rFonts w:ascii="宋体" w:hAnsi="宋体" w:eastAsia="宋体"/>
                <w:sz w:val="16"/>
              </w:rPr>
              <w:t>98.5分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66224"/>
        </w:tc>
      </w:tr>
    </w:tbl>
    <w:p w14:paraId="3EE9736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00257BCF">
        <w:tblPrEx>
          <w:tblCellMar>
            <w:top w:w="0" w:type="dxa"/>
            <w:left w:w="108" w:type="dxa"/>
            <w:bottom w:w="0" w:type="dxa"/>
            <w:right w:w="108" w:type="dxa"/>
          </w:tblCellMar>
        </w:tblPrEx>
        <w:tc>
          <w:tcPr>
            <w:tcW w:w="8848" w:type="dxa"/>
            <w:gridSpan w:val="14"/>
            <w:vAlign w:val="center"/>
          </w:tcPr>
          <w:p w14:paraId="375AF7EF">
            <w:pPr>
              <w:jc w:val="center"/>
            </w:pPr>
            <w:r>
              <w:rPr>
                <w:rFonts w:ascii="宋体" w:hAnsi="宋体" w:eastAsia="宋体"/>
                <w:sz w:val="24"/>
              </w:rPr>
              <w:t>项目支出绩效自评表</w:t>
            </w:r>
          </w:p>
        </w:tc>
      </w:tr>
      <w:tr w14:paraId="34BD004B">
        <w:tblPrEx>
          <w:tblCellMar>
            <w:top w:w="0" w:type="dxa"/>
            <w:left w:w="108" w:type="dxa"/>
            <w:bottom w:w="0" w:type="dxa"/>
            <w:right w:w="108" w:type="dxa"/>
          </w:tblCellMar>
        </w:tblPrEx>
        <w:tc>
          <w:tcPr>
            <w:tcW w:w="8848" w:type="dxa"/>
            <w:gridSpan w:val="14"/>
            <w:vAlign w:val="center"/>
          </w:tcPr>
          <w:p w14:paraId="45E71888">
            <w:pPr>
              <w:jc w:val="center"/>
            </w:pPr>
            <w:r>
              <w:rPr>
                <w:rFonts w:ascii="宋体" w:hAnsi="宋体" w:eastAsia="宋体"/>
                <w:sz w:val="24"/>
              </w:rPr>
              <w:t>(2024年度)</w:t>
            </w:r>
          </w:p>
        </w:tc>
      </w:tr>
      <w:tr w14:paraId="6511A4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1C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A4669C">
            <w:pPr>
              <w:jc w:val="center"/>
            </w:pPr>
            <w:r>
              <w:rPr>
                <w:rFonts w:ascii="宋体" w:hAnsi="宋体" w:eastAsia="宋体"/>
                <w:sz w:val="16"/>
              </w:rPr>
              <w:t>学前免费教育经费</w:t>
            </w:r>
          </w:p>
        </w:tc>
      </w:tr>
      <w:tr w14:paraId="48E585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4F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65F82">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F8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46DAE8">
            <w:pPr>
              <w:jc w:val="center"/>
            </w:pPr>
            <w:r>
              <w:rPr>
                <w:rFonts w:ascii="宋体" w:hAnsi="宋体" w:eastAsia="宋体"/>
                <w:sz w:val="16"/>
              </w:rPr>
              <w:t>乌鲁木齐市第二十一幼儿园</w:t>
            </w:r>
          </w:p>
        </w:tc>
      </w:tr>
      <w:tr w14:paraId="5A0864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9D31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D1CB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CA59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7EA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B9B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1A84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957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2EB8">
            <w:pPr>
              <w:jc w:val="center"/>
            </w:pPr>
            <w:r>
              <w:rPr>
                <w:rFonts w:ascii="宋体" w:hAnsi="宋体" w:eastAsia="宋体"/>
                <w:sz w:val="16"/>
              </w:rPr>
              <w:t>得分</w:t>
            </w:r>
          </w:p>
        </w:tc>
      </w:tr>
      <w:tr w14:paraId="48CE9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CF7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1EF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B17BE">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1051D">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67A68">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315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BD50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7602E">
            <w:pPr>
              <w:jc w:val="center"/>
            </w:pPr>
            <w:r>
              <w:rPr>
                <w:rFonts w:ascii="宋体" w:hAnsi="宋体" w:eastAsia="宋体"/>
                <w:sz w:val="16"/>
              </w:rPr>
              <w:t>10.00分</w:t>
            </w:r>
          </w:p>
        </w:tc>
      </w:tr>
      <w:tr w14:paraId="110851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620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941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95D10">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A0E4D">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535D2">
            <w:pPr>
              <w:jc w:val="center"/>
            </w:pPr>
            <w:r>
              <w:rPr>
                <w:rFonts w:ascii="宋体" w:hAnsi="宋体" w:eastAsia="宋体"/>
                <w:sz w:val="16"/>
              </w:rPr>
              <w:t>25.56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330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C3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7CE4">
            <w:pPr>
              <w:jc w:val="center"/>
            </w:pPr>
            <w:r>
              <w:rPr>
                <w:rFonts w:ascii="宋体" w:hAnsi="宋体" w:eastAsia="宋体"/>
                <w:sz w:val="16"/>
              </w:rPr>
              <w:t>-</w:t>
            </w:r>
          </w:p>
        </w:tc>
      </w:tr>
      <w:tr w14:paraId="526E5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5BC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926E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CFF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1B1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96A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85B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EEC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39A0">
            <w:pPr>
              <w:jc w:val="center"/>
            </w:pPr>
            <w:r>
              <w:rPr>
                <w:rFonts w:ascii="宋体" w:hAnsi="宋体" w:eastAsia="宋体"/>
                <w:sz w:val="16"/>
              </w:rPr>
              <w:t>-</w:t>
            </w:r>
          </w:p>
        </w:tc>
      </w:tr>
      <w:tr w14:paraId="6F49F7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C98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D132B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347021">
            <w:pPr>
              <w:jc w:val="center"/>
            </w:pPr>
            <w:r>
              <w:rPr>
                <w:rFonts w:ascii="宋体" w:hAnsi="宋体" w:eastAsia="宋体"/>
                <w:sz w:val="16"/>
              </w:rPr>
              <w:t>总体目标完成情况</w:t>
            </w:r>
          </w:p>
        </w:tc>
      </w:tr>
      <w:tr w14:paraId="4239B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62D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5BD2C">
            <w:pPr>
              <w:jc w:val="both"/>
            </w:pPr>
            <w:r>
              <w:rPr>
                <w:rFonts w:ascii="宋体" w:hAnsi="宋体" w:eastAsia="宋体"/>
                <w:sz w:val="16"/>
              </w:rPr>
              <w:t>本项目按照教育年报数据核定我园幼儿人数，财政局根据人数补充学前教育经费。该项目发放人数426人，本年度发放一次，每人每次发放补助金600元。该项目具体用于项目资金用于保障人员工资及公用，园内维修及文化建设改造项目使用；全面帮助幼儿园提升教育教学质量，改善幼儿园办学管理水平，切实推进新疆学前教育事业发展，促进教育公平。保障学前教育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012965">
            <w:pPr>
              <w:jc w:val="both"/>
            </w:pPr>
            <w:r>
              <w:rPr>
                <w:rFonts w:ascii="宋体" w:hAnsi="宋体" w:eastAsia="宋体"/>
                <w:sz w:val="16"/>
              </w:rPr>
              <w:t>该项目用于学前教育正常运转、教育教学活动和其他日常工作正常开展的相关支出，主要用于幼儿园电话费、电费、水费等运转类。以及教职工培训费、差旅费、园内修缮等 。今年由于财政紧张，很多欠款未能及时支付。往后将继续全面帮助幼儿园提升教育教学质量，改善幼儿园办学管理水平，切实推进学前教育事业发展，促进教育公平。保障学前教育需求，促进教育事业的发展。全年执行率为100%，总体完成率为70.3%，偏差率为29.7%。产生偏差的原因是财政紧张，很多计划要支付的资金未能支付，未支付的资金退回了国库。又因第一年做绩效未能根据实际情况设指标，导致与实际产生偏差。</w:t>
            </w:r>
            <w:r>
              <w:rPr>
                <w:rFonts w:ascii="宋体" w:hAnsi="宋体" w:eastAsia="宋体"/>
                <w:sz w:val="16"/>
              </w:rPr>
              <w:br w:type="textWrapping"/>
            </w:r>
            <w:r>
              <w:rPr>
                <w:rFonts w:ascii="宋体" w:hAnsi="宋体" w:eastAsia="宋体"/>
                <w:sz w:val="16"/>
              </w:rPr>
              <w:br w:type="textWrapping"/>
            </w:r>
          </w:p>
        </w:tc>
      </w:tr>
      <w:tr w14:paraId="21250D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048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94F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8CD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FC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994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3EC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C2D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9AC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805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50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E18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DD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A9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841A">
            <w:pPr>
              <w:jc w:val="center"/>
            </w:pPr>
            <w:r>
              <w:rPr>
                <w:rFonts w:ascii="宋体" w:hAnsi="宋体" w:eastAsia="宋体"/>
                <w:sz w:val="16"/>
              </w:rPr>
              <w:t>偏差原因分析及改进措施</w:t>
            </w:r>
          </w:p>
        </w:tc>
      </w:tr>
      <w:tr w14:paraId="765CE5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18E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C8C7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0C0D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D7F2">
            <w:pPr>
              <w:jc w:val="center"/>
            </w:pPr>
            <w:r>
              <w:rPr>
                <w:rFonts w:ascii="宋体" w:hAnsi="宋体" w:eastAsia="宋体"/>
                <w:sz w:val="16"/>
              </w:rPr>
              <w:t>支付水电费、电话费次数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A71B9">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93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A758">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C0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B5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2E4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0895">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8D61">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97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6259">
            <w:pPr>
              <w:jc w:val="center"/>
            </w:pPr>
            <w:r>
              <w:rPr>
                <w:rFonts w:ascii="宋体" w:hAnsi="宋体" w:eastAsia="宋体"/>
                <w:sz w:val="16"/>
              </w:rPr>
              <w:t>由于第一年做绩效目标，对目标值预估不当，日常运转支付次数多。</w:t>
            </w:r>
          </w:p>
        </w:tc>
      </w:tr>
      <w:tr w14:paraId="06568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51F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E5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717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AFBD">
            <w:pPr>
              <w:jc w:val="center"/>
            </w:pPr>
            <w:r>
              <w:rPr>
                <w:rFonts w:ascii="宋体" w:hAnsi="宋体" w:eastAsia="宋体"/>
                <w:sz w:val="16"/>
              </w:rPr>
              <w:t>支付修缮费次数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44E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CE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8CD9">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0B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259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8EB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C741">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F0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7E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78C8">
            <w:pPr>
              <w:jc w:val="center"/>
            </w:pPr>
            <w:r>
              <w:rPr>
                <w:rFonts w:ascii="宋体" w:hAnsi="宋体" w:eastAsia="宋体"/>
                <w:sz w:val="16"/>
              </w:rPr>
              <w:t>财政紧张，计划的维修项目未能及时进行。</w:t>
            </w:r>
          </w:p>
        </w:tc>
      </w:tr>
      <w:tr w14:paraId="6B8451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A66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EC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BFC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CB537">
            <w:pPr>
              <w:jc w:val="center"/>
            </w:pPr>
            <w:r>
              <w:rPr>
                <w:rFonts w:ascii="宋体" w:hAnsi="宋体" w:eastAsia="宋体"/>
                <w:sz w:val="16"/>
              </w:rPr>
              <w:t>支付差旅费次数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59D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1E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6D77">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AD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79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014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7501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B7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D7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4776">
            <w:pPr>
              <w:jc w:val="center"/>
            </w:pPr>
          </w:p>
        </w:tc>
      </w:tr>
      <w:tr w14:paraId="577A9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47E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11E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D2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1CA4">
            <w:pPr>
              <w:jc w:val="center"/>
            </w:pPr>
            <w:r>
              <w:rPr>
                <w:rFonts w:ascii="宋体" w:hAnsi="宋体" w:eastAsia="宋体"/>
                <w:sz w:val="16"/>
              </w:rPr>
              <w:t>其他商品和服务支出次数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A63D4">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9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913E">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45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5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0663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AD7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76FD1">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FC7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1F05A">
            <w:pPr>
              <w:jc w:val="center"/>
            </w:pPr>
            <w:r>
              <w:rPr>
                <w:rFonts w:ascii="宋体" w:hAnsi="宋体" w:eastAsia="宋体"/>
                <w:sz w:val="16"/>
              </w:rPr>
              <w:t>设目标值时想着计划用来补充支付临聘人员工资的，但由于学前教育经费不足，后期用预拨经费支付的临聘工资，导致未达到目标值。</w:t>
            </w:r>
          </w:p>
        </w:tc>
      </w:tr>
      <w:tr w14:paraId="4C957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D1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13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15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FBC9">
            <w:pPr>
              <w:jc w:val="center"/>
            </w:pPr>
            <w:r>
              <w:rPr>
                <w:rFonts w:ascii="宋体" w:hAnsi="宋体" w:eastAsia="宋体"/>
                <w:sz w:val="16"/>
              </w:rPr>
              <w:t>公用经费使用合格率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4F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8E0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4F029">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4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02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A3D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1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2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5D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8486">
            <w:pPr>
              <w:jc w:val="center"/>
            </w:pPr>
          </w:p>
        </w:tc>
      </w:tr>
      <w:tr w14:paraId="4246A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3CC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0F8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71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6128C">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42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C9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FE262">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CE6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A7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C59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5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1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EA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5921">
            <w:pPr>
              <w:jc w:val="center"/>
            </w:pPr>
          </w:p>
        </w:tc>
      </w:tr>
      <w:tr w14:paraId="3A70EF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111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0FA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B09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D40A">
            <w:pPr>
              <w:jc w:val="center"/>
            </w:pPr>
            <w:r>
              <w:rPr>
                <w:rFonts w:ascii="宋体" w:hAnsi="宋体" w:eastAsia="宋体"/>
                <w:sz w:val="16"/>
              </w:rPr>
              <w:t>水电费、电话费用总额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96F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0F8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A921">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6F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3C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771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9593">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7F29">
            <w:pPr>
              <w:jc w:val="center"/>
            </w:pPr>
            <w:r>
              <w:rPr>
                <w:rFonts w:ascii="宋体" w:hAnsi="宋体" w:eastAsia="宋体"/>
                <w:sz w:val="16"/>
              </w:rPr>
              <w:t>48.3%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5855">
            <w:pPr>
              <w:jc w:val="center"/>
            </w:pPr>
            <w:r>
              <w:rPr>
                <w:rFonts w:ascii="宋体" w:hAnsi="宋体" w:eastAsia="宋体"/>
                <w:sz w:val="16"/>
              </w:rPr>
              <w:t>2.42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6189">
            <w:pPr>
              <w:jc w:val="center"/>
            </w:pPr>
            <w:r>
              <w:rPr>
                <w:rFonts w:ascii="宋体" w:hAnsi="宋体" w:eastAsia="宋体"/>
                <w:sz w:val="16"/>
              </w:rPr>
              <w:t>教师们节约用水、用电意识增强，所以费用比预期值减少。</w:t>
            </w:r>
          </w:p>
        </w:tc>
      </w:tr>
      <w:tr w14:paraId="52921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00F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FB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5D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434C8">
            <w:pPr>
              <w:jc w:val="center"/>
            </w:pPr>
            <w:r>
              <w:rPr>
                <w:rFonts w:ascii="宋体" w:hAnsi="宋体" w:eastAsia="宋体"/>
                <w:sz w:val="16"/>
              </w:rPr>
              <w:t>报销去年未报差旅费总额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0F4B">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C62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D484">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6F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7B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CE4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F839">
            <w:pPr>
              <w:jc w:val="center"/>
            </w:pPr>
            <w:r>
              <w:rPr>
                <w:rFonts w:ascii="宋体" w:hAnsi="宋体" w:eastAsia="宋体"/>
                <w:sz w:val="16"/>
              </w:rPr>
              <w:t>=1.11万元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6597">
            <w:pPr>
              <w:jc w:val="center"/>
            </w:pPr>
            <w:r>
              <w:rPr>
                <w:rFonts w:ascii="宋体" w:hAnsi="宋体" w:eastAsia="宋体"/>
                <w:sz w:val="16"/>
              </w:rPr>
              <w:t>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C24D">
            <w:pPr>
              <w:jc w:val="center"/>
            </w:pPr>
            <w:r>
              <w:rPr>
                <w:rFonts w:ascii="宋体" w:hAnsi="宋体" w:eastAsia="宋体"/>
                <w:sz w:val="16"/>
              </w:rPr>
              <w:t>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104E0">
            <w:pPr>
              <w:jc w:val="center"/>
            </w:pPr>
            <w:r>
              <w:rPr>
                <w:rFonts w:ascii="宋体" w:hAnsi="宋体" w:eastAsia="宋体"/>
                <w:sz w:val="16"/>
              </w:rPr>
              <w:t>由于差旅费指标额度不足，未能及时进行科目调剂，导致去年差旅费未报销完。</w:t>
            </w:r>
          </w:p>
        </w:tc>
      </w:tr>
      <w:tr w14:paraId="5E45D3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4C8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872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8AE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3D4D">
            <w:pPr>
              <w:jc w:val="center"/>
            </w:pPr>
            <w:r>
              <w:rPr>
                <w:rFonts w:ascii="宋体" w:hAnsi="宋体" w:eastAsia="宋体"/>
                <w:sz w:val="16"/>
              </w:rPr>
              <w:t>零星维修修缮费总额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76C6">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F3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19756">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D7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47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B70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42CB">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3A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C02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F0DD">
            <w:pPr>
              <w:jc w:val="center"/>
            </w:pPr>
            <w:r>
              <w:rPr>
                <w:rFonts w:ascii="宋体" w:hAnsi="宋体" w:eastAsia="宋体"/>
                <w:sz w:val="16"/>
              </w:rPr>
              <w:t>由于财政紧张，计划的维修项目未能及时进行，也未能支付历年欠款。</w:t>
            </w:r>
          </w:p>
        </w:tc>
      </w:tr>
      <w:tr w14:paraId="39C0E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B26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59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D6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EB9D">
            <w:pPr>
              <w:jc w:val="center"/>
            </w:pPr>
            <w:r>
              <w:rPr>
                <w:rFonts w:ascii="宋体" w:hAnsi="宋体" w:eastAsia="宋体"/>
                <w:sz w:val="16"/>
              </w:rPr>
              <w:t>用于其他商品和服务支出总额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C5B2">
            <w:pPr>
              <w:jc w:val="center"/>
            </w:pPr>
            <w:r>
              <w:rPr>
                <w:rFonts w:ascii="宋体" w:hAnsi="宋体" w:eastAsia="宋体"/>
                <w:sz w:val="16"/>
              </w:rPr>
              <w:t>&lt;=8.56万元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77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7F9AE">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8A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DB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84D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42FA">
            <w:pPr>
              <w:jc w:val="center"/>
            </w:pPr>
            <w:r>
              <w:rPr>
                <w:rFonts w:ascii="宋体" w:hAnsi="宋体" w:eastAsia="宋体"/>
                <w:sz w:val="16"/>
              </w:rPr>
              <w:t>=0.38万元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5BFF">
            <w:pPr>
              <w:jc w:val="center"/>
            </w:pPr>
            <w:r>
              <w:rPr>
                <w:rFonts w:ascii="宋体" w:hAnsi="宋体" w:eastAsia="宋体"/>
                <w:sz w:val="16"/>
              </w:rPr>
              <w:t>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463D">
            <w:pPr>
              <w:jc w:val="center"/>
            </w:pPr>
            <w:r>
              <w:rPr>
                <w:rFonts w:ascii="宋体" w:hAnsi="宋体" w:eastAsia="宋体"/>
                <w:sz w:val="16"/>
              </w:rPr>
              <w:t>0.22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8C40">
            <w:pPr>
              <w:jc w:val="center"/>
            </w:pPr>
            <w:r>
              <w:rPr>
                <w:rFonts w:ascii="宋体" w:hAnsi="宋体" w:eastAsia="宋体"/>
                <w:sz w:val="16"/>
              </w:rPr>
              <w:t>由于2024我园是新成立的预算单位，也是第一年做绩效目标以及预算，对目标值预判经验不足，又因后期进行科目调剂，其他商品和服务支出总额减少。</w:t>
            </w:r>
          </w:p>
        </w:tc>
      </w:tr>
      <w:tr w14:paraId="02E6C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738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5E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77B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0AEC3">
            <w:pPr>
              <w:jc w:val="center"/>
            </w:pPr>
            <w:r>
              <w:rPr>
                <w:rFonts w:ascii="宋体" w:hAnsi="宋体" w:eastAsia="宋体"/>
                <w:sz w:val="16"/>
              </w:rPr>
              <w:t>有效保障幼儿园办学条件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B88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705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9F39">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53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1F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80E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EED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6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575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EC91">
            <w:pPr>
              <w:jc w:val="center"/>
            </w:pPr>
          </w:p>
        </w:tc>
      </w:tr>
      <w:tr w14:paraId="50F10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C6A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B9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FE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7CC4">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D33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861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01018">
            <w:pPr>
              <w:jc w:val="center"/>
            </w:pPr>
            <w:r>
              <w:rPr>
                <w:rFonts w:ascii="宋体" w:hAnsi="宋体" w:eastAsia="宋体"/>
                <w:sz w:val="16"/>
              </w:rPr>
              <w:t>新增单位，无上年完成值。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C4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B9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624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B66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FAC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FB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C408">
            <w:pPr>
              <w:jc w:val="center"/>
            </w:pPr>
            <w:r>
              <w:rPr>
                <w:rFonts w:hint="eastAsia" w:ascii="宋体" w:hAnsi="宋体"/>
                <w:sz w:val="16"/>
                <w:lang w:eastAsia="zh-CN"/>
              </w:rPr>
              <w:t>教职工</w:t>
            </w:r>
            <w:r>
              <w:rPr>
                <w:rFonts w:ascii="宋体" w:hAnsi="宋体" w:eastAsia="宋体"/>
                <w:sz w:val="16"/>
              </w:rPr>
              <w:t>对我园办学条件、环境设置都表示很满意，比我预期值高。</w:t>
            </w:r>
          </w:p>
        </w:tc>
      </w:tr>
      <w:tr w14:paraId="081B07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EA9E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444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40CA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B0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66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B64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D157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864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4A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E09B">
            <w:pPr>
              <w:jc w:val="center"/>
            </w:pPr>
            <w:r>
              <w:rPr>
                <w:rFonts w:ascii="宋体" w:hAnsi="宋体" w:eastAsia="宋体"/>
                <w:sz w:val="16"/>
              </w:rPr>
              <w:t>78.44分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66C34"/>
        </w:tc>
      </w:tr>
    </w:tbl>
    <w:p w14:paraId="76BCB0E2">
      <w:r>
        <w:br w:type="page"/>
      </w:r>
    </w:p>
    <w:p w14:paraId="281F411D">
      <w:pPr>
        <w:spacing w:line="640" w:lineRule="exact"/>
        <w:ind w:firstLine="640"/>
        <w:jc w:val="both"/>
        <w:outlineLvl w:val="2"/>
      </w:pPr>
      <w:r>
        <w:rPr>
          <w:rFonts w:ascii="黑体" w:hAnsi="黑体" w:eastAsia="黑体"/>
          <w:sz w:val="32"/>
        </w:rPr>
        <w:t>十二、其他需说明的事项</w:t>
      </w:r>
    </w:p>
    <w:p w14:paraId="533BEE5A">
      <w:pPr>
        <w:spacing w:line="580" w:lineRule="exact"/>
        <w:ind w:firstLine="640"/>
        <w:jc w:val="both"/>
      </w:pPr>
      <w:r>
        <w:rPr>
          <w:rFonts w:ascii="仿宋_GB2312" w:hAnsi="仿宋_GB2312" w:eastAsia="仿宋_GB2312"/>
          <w:b w:val="0"/>
          <w:sz w:val="32"/>
        </w:rPr>
        <w:t>本单位无其他需说明的事项。</w:t>
      </w:r>
    </w:p>
    <w:p w14:paraId="628411FE">
      <w:r>
        <w:br w:type="page"/>
      </w:r>
    </w:p>
    <w:p w14:paraId="777BF3E0">
      <w:pPr>
        <w:spacing w:line="240" w:lineRule="auto"/>
        <w:jc w:val="center"/>
        <w:outlineLvl w:val="1"/>
      </w:pPr>
      <w:r>
        <w:rPr>
          <w:rFonts w:ascii="黑体" w:hAnsi="黑体" w:eastAsia="黑体"/>
          <w:sz w:val="32"/>
        </w:rPr>
        <w:t>第三部分 专业名词解释</w:t>
      </w:r>
    </w:p>
    <w:p w14:paraId="1E2CCEB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3CEE6D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B983A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D76722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636E6C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E5108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F1C1F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DFB96A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119179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C8421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491A95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B8065C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FC75B1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06D794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95CD4A6">
      <w:r>
        <w:br w:type="page"/>
      </w:r>
    </w:p>
    <w:p w14:paraId="63E8E26D">
      <w:pPr>
        <w:spacing w:line="240" w:lineRule="auto"/>
        <w:jc w:val="center"/>
        <w:outlineLvl w:val="1"/>
      </w:pPr>
      <w:r>
        <w:rPr>
          <w:rFonts w:ascii="黑体" w:hAnsi="黑体" w:eastAsia="黑体"/>
          <w:sz w:val="32"/>
        </w:rPr>
        <w:t>第四部分 部门决算报表（见附表）</w:t>
      </w:r>
    </w:p>
    <w:p w14:paraId="5E32CFE6">
      <w:pPr>
        <w:spacing w:line="240" w:lineRule="auto"/>
        <w:ind w:firstLine="640"/>
        <w:jc w:val="both"/>
      </w:pPr>
      <w:r>
        <w:rPr>
          <w:rFonts w:ascii="仿宋_GB2312" w:hAnsi="仿宋_GB2312" w:eastAsia="仿宋_GB2312"/>
          <w:b w:val="0"/>
          <w:sz w:val="32"/>
        </w:rPr>
        <w:t>一、《收入支出决算总表》</w:t>
      </w:r>
    </w:p>
    <w:p w14:paraId="0A31469B">
      <w:pPr>
        <w:spacing w:line="240" w:lineRule="auto"/>
        <w:ind w:firstLine="640"/>
        <w:jc w:val="both"/>
      </w:pPr>
      <w:r>
        <w:rPr>
          <w:rFonts w:ascii="仿宋_GB2312" w:hAnsi="仿宋_GB2312" w:eastAsia="仿宋_GB2312"/>
          <w:b w:val="0"/>
          <w:sz w:val="32"/>
        </w:rPr>
        <w:t>二、《收入决算表》</w:t>
      </w:r>
    </w:p>
    <w:p w14:paraId="71B53EB6">
      <w:pPr>
        <w:spacing w:line="240" w:lineRule="auto"/>
        <w:ind w:firstLine="640"/>
        <w:jc w:val="both"/>
      </w:pPr>
      <w:r>
        <w:rPr>
          <w:rFonts w:ascii="仿宋_GB2312" w:hAnsi="仿宋_GB2312" w:eastAsia="仿宋_GB2312"/>
          <w:b w:val="0"/>
          <w:sz w:val="32"/>
        </w:rPr>
        <w:t>三、《支出决算表》</w:t>
      </w:r>
    </w:p>
    <w:p w14:paraId="6952577B">
      <w:pPr>
        <w:spacing w:line="240" w:lineRule="auto"/>
        <w:ind w:firstLine="640"/>
        <w:jc w:val="both"/>
      </w:pPr>
      <w:r>
        <w:rPr>
          <w:rFonts w:ascii="仿宋_GB2312" w:hAnsi="仿宋_GB2312" w:eastAsia="仿宋_GB2312"/>
          <w:b w:val="0"/>
          <w:sz w:val="32"/>
        </w:rPr>
        <w:t>四、《财政拨款收入支出决算总表》</w:t>
      </w:r>
    </w:p>
    <w:p w14:paraId="2D49E089">
      <w:pPr>
        <w:spacing w:line="240" w:lineRule="auto"/>
        <w:ind w:firstLine="640"/>
        <w:jc w:val="both"/>
      </w:pPr>
      <w:r>
        <w:rPr>
          <w:rFonts w:ascii="仿宋_GB2312" w:hAnsi="仿宋_GB2312" w:eastAsia="仿宋_GB2312"/>
          <w:b w:val="0"/>
          <w:sz w:val="32"/>
        </w:rPr>
        <w:t>五、《一般公共预算财政拨款支出决算表》</w:t>
      </w:r>
    </w:p>
    <w:p w14:paraId="389F372D">
      <w:pPr>
        <w:spacing w:line="240" w:lineRule="auto"/>
        <w:ind w:firstLine="640"/>
        <w:jc w:val="both"/>
      </w:pPr>
      <w:r>
        <w:rPr>
          <w:rFonts w:ascii="仿宋_GB2312" w:hAnsi="仿宋_GB2312" w:eastAsia="仿宋_GB2312"/>
          <w:b w:val="0"/>
          <w:sz w:val="32"/>
        </w:rPr>
        <w:t>六、《一般公共预算财政拨款基本支出决算表》</w:t>
      </w:r>
    </w:p>
    <w:p w14:paraId="362EF579">
      <w:pPr>
        <w:spacing w:line="240" w:lineRule="auto"/>
        <w:ind w:firstLine="640"/>
        <w:jc w:val="both"/>
      </w:pPr>
      <w:r>
        <w:rPr>
          <w:rFonts w:ascii="仿宋_GB2312" w:hAnsi="仿宋_GB2312" w:eastAsia="仿宋_GB2312"/>
          <w:b w:val="0"/>
          <w:sz w:val="32"/>
        </w:rPr>
        <w:t>七、《政府性基金预算财政拨款收入支出决算表》</w:t>
      </w:r>
    </w:p>
    <w:p w14:paraId="67EF65E3">
      <w:pPr>
        <w:spacing w:line="240" w:lineRule="auto"/>
        <w:ind w:firstLine="640"/>
        <w:jc w:val="both"/>
      </w:pPr>
      <w:r>
        <w:rPr>
          <w:rFonts w:ascii="仿宋_GB2312" w:hAnsi="仿宋_GB2312" w:eastAsia="仿宋_GB2312"/>
          <w:b w:val="0"/>
          <w:sz w:val="32"/>
        </w:rPr>
        <w:t>八、《国有资本经营预算财政拨款收入支出决算表》</w:t>
      </w:r>
    </w:p>
    <w:p w14:paraId="5CBB3681">
      <w:pPr>
        <w:spacing w:line="240" w:lineRule="auto"/>
        <w:ind w:firstLine="640"/>
        <w:jc w:val="both"/>
      </w:pPr>
      <w:r>
        <w:rPr>
          <w:rFonts w:ascii="仿宋_GB2312" w:hAnsi="仿宋_GB2312" w:eastAsia="仿宋_GB2312"/>
          <w:b w:val="0"/>
          <w:sz w:val="32"/>
        </w:rPr>
        <w:t>九、《财政拨款“三公”经费支出决算表》</w:t>
      </w:r>
    </w:p>
    <w:p w14:paraId="7E8BBA91">
      <w:pPr>
        <w:spacing w:line="240" w:lineRule="auto"/>
        <w:ind w:firstLine="640"/>
        <w:jc w:val="both"/>
      </w:pPr>
    </w:p>
    <w:p w14:paraId="2E8E548D">
      <w:pPr>
        <w:spacing w:line="240" w:lineRule="auto"/>
        <w:ind w:firstLine="640"/>
        <w:jc w:val="both"/>
      </w:pPr>
    </w:p>
    <w:p w14:paraId="61123D19">
      <w:pPr>
        <w:spacing w:line="240" w:lineRule="auto"/>
        <w:ind w:firstLine="640"/>
        <w:jc w:val="both"/>
      </w:pPr>
    </w:p>
    <w:p w14:paraId="4C515000">
      <w:pPr>
        <w:spacing w:line="240" w:lineRule="auto"/>
        <w:ind w:firstLine="640"/>
        <w:jc w:val="both"/>
      </w:pPr>
    </w:p>
    <w:p w14:paraId="2539EB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DA644C0"/>
    <w:rsid w:val="4F3F074E"/>
    <w:rsid w:val="50DB5F45"/>
    <w:rsid w:val="52F92565"/>
    <w:rsid w:val="543D17CB"/>
    <w:rsid w:val="55DA564E"/>
    <w:rsid w:val="56E07045"/>
    <w:rsid w:val="57C25E2C"/>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812DA2"/>
    <w:rsid w:val="71473612"/>
    <w:rsid w:val="718F7F65"/>
    <w:rsid w:val="73423603"/>
    <w:rsid w:val="737A5923"/>
    <w:rsid w:val="73DE4104"/>
    <w:rsid w:val="73FB6630"/>
    <w:rsid w:val="74CE04EC"/>
    <w:rsid w:val="74E76DCD"/>
    <w:rsid w:val="76660D7C"/>
    <w:rsid w:val="77ED6F44"/>
    <w:rsid w:val="795A0A34"/>
    <w:rsid w:val="7A0D3BC7"/>
    <w:rsid w:val="7A3A3CDB"/>
    <w:rsid w:val="7EF951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bf6915e3-9071-4635-b45a-2a0b86afcc90</errorID>
      <errorWord>、</errorWord>
      <group>L1_Word</group>
      <groupName>字词问题</groupName>
      <ability>L2_Typo</ability>
      <abilityName>字词错误</abilityName>
      <candidateList>
        <item>、各</item>
      </candidateList>
      <explain/>
      <paraID>74F504FF</paraID>
      <start>794</start>
      <end>795</end>
      <status>unmodified</status>
      <modifiedWord/>
      <trackRevisions>false</trackRevisions>
    </reviewItem>
    <reviewItem>
      <errorID>47f4ea82-500d-47ee-82ab-44f8a9016f4b</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19058934</paraID>
      <start>488</start>
      <end>490</end>
      <status>unmodified</status>
      <modifiedWord/>
      <trackRevisions>false</trackRevisions>
    </reviewItem>
    <reviewItem>
      <errorID>ee6f98f5-27d4-493c-9591-5edaeabea6cb</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7EF6D76B</paraID>
      <start>479</start>
      <end>481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6a9a2-573d-408f-9cc5-f3734b6fefd3}">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4144</Words>
  <Characters>4680</Characters>
  <Lines>0</Lines>
  <Paragraphs>0</Paragraphs>
  <TotalTime>5</TotalTime>
  <ScaleCrop>false</ScaleCrop>
  <LinksUpToDate>false</LinksUpToDate>
  <CharactersWithSpaces>4688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